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Электронные трудовые книжки.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Пошаговый алгоритм перехода на электронные книжки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(уведомление, отчетность, выдача трудовой книжки на руки). Что необходимо сделать Работодателю (специалисту по кадрам). Организуем работу правильно и эффективно, оптимизируя трудозатраты.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Форма уведомления работников и форма заявления от работника.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Электронная трудовая книжка (СЗВ-ТД) - ускоренная подача отчетности в ПФРФ до 31.12. 2020. Принятие закона о новых штрафных санкциях с 1 января 2021 г.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Сведения о трудовой деятельности работника Форма СЗВ-ТД, СТД-Р и СТД-ПФР. 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Порядок и сроки предоставления в Пенсионный фонд РФ, на каких работников оформляем и выдачи работнику на руки. Как правильно заполнить форму, какие сведения указать и по каким работникам.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Исправление ошибок в поданной отчетности.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Практика 2020 по сдаче отчетности в ПФР.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Подтверждение трудового стажа работников после внедрения и способы как это узнать.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Позитивные преимущества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для работодателей от внедрения электронных трудовых книжек.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Когда выдавать работникам на руки трудовые книжки, если они отказались от их ведения. Какую запись сделать в трудовой книжке?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Ответственность за нарушение сроков передачи сведений,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как правильно организовать работу для минимизации штрафов.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Уведомление службы занятости через онлайн сервис.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Изменения в предоставлении отчетности. Отчетность для органов службы занятости на портал «Работа в России». Правила заполнения формы, сроки представления, ответственность за непредставление. Регистрация безработных и пособие по безработице.</w:t>
      </w:r>
    </w:p>
    <w:p w:rsidR="00A87D61" w:rsidRPr="00A87D61" w:rsidRDefault="00A87D61" w:rsidP="00A87D61">
      <w:pPr>
        <w:numPr>
          <w:ilvl w:val="0"/>
          <w:numId w:val="5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Перспективные направления внедрения 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«Цифровой экономики» в HR-блок у работодателя.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NEW. Электронный кадровый документооборот работодателя – теперь это законно!</w:t>
      </w:r>
    </w:p>
    <w:p w:rsidR="00A87D61" w:rsidRPr="00A87D61" w:rsidRDefault="00A87D61" w:rsidP="00A87D61">
      <w:pPr>
        <w:numPr>
          <w:ilvl w:val="0"/>
          <w:numId w:val="6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Эксперимент по внедрению электронного документооборота с 5 мая 2020 г. по 21 марта 2021 г. (Федеральный закон от 24.04.2020 №122-ФЗ).</w:t>
      </w:r>
    </w:p>
    <w:p w:rsidR="00A87D61" w:rsidRPr="00A87D61" w:rsidRDefault="00A87D61" w:rsidP="00A87D61">
      <w:pPr>
        <w:numPr>
          <w:ilvl w:val="0"/>
          <w:numId w:val="6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Порядок и правила проведения эксперимента. Внедрение реального электронного документооборота без дублирования на бумажном носителе.</w:t>
      </w:r>
    </w:p>
    <w:p w:rsidR="00A87D61" w:rsidRPr="00A87D61" w:rsidRDefault="00A87D61" w:rsidP="00A87D61">
      <w:pPr>
        <w:numPr>
          <w:ilvl w:val="0"/>
          <w:numId w:val="6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Простая электронная подпись Работника – будущее современных трудовых отношений.</w:t>
      </w:r>
    </w:p>
    <w:p w:rsidR="00A87D61" w:rsidRPr="00A87D61" w:rsidRDefault="00A87D61" w:rsidP="00A87D61">
      <w:pPr>
        <w:numPr>
          <w:ilvl w:val="0"/>
          <w:numId w:val="6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Плюсы и минусы нововведений, что необходимо знать и как подготовиться к этому.</w:t>
      </w:r>
    </w:p>
    <w:p w:rsidR="00A87D61" w:rsidRPr="00A87D61" w:rsidRDefault="00A87D61" w:rsidP="00A87D61">
      <w:pPr>
        <w:numPr>
          <w:ilvl w:val="0"/>
          <w:numId w:val="6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Информационная система «Работа в России» и электронный кадровый документооборот - совместное развитие после 2021 г.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Электронный надзор за трудовыми взаимоотношениями: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Цели, задачи и перспективы внедрения. Электронный инспектор (Онлайн-инспекция РФ), внедрение добровольного внутреннего контроля и аудита. Новые правила, по которым ГИТ проверяет работодателей. </w:t>
      </w: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Трансформация традиционных проверок в системный мониторинг (дистанционные проверки) - электронный надзор.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Электронный паспорт гражданина РФ (ID): 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понятие, перечень информации, содержащей в документе, плюсы и минусы данного документа, предполагаемое время начала выдачи электронных паспортов.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Новые статьи Трудового Кодекса РФ.</w:t>
      </w:r>
    </w:p>
    <w:p w:rsidR="00A87D61" w:rsidRPr="00A87D61" w:rsidRDefault="00A87D61" w:rsidP="00A87D61">
      <w:pPr>
        <w:numPr>
          <w:ilvl w:val="0"/>
          <w:numId w:val="7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Статья 263.1 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ТК РФ «Дополнительные гарантии женщинам, работающим в сельской местности».</w:t>
      </w:r>
    </w:p>
    <w:p w:rsidR="00A87D61" w:rsidRPr="00A87D61" w:rsidRDefault="00A87D61" w:rsidP="00A87D61">
      <w:pPr>
        <w:numPr>
          <w:ilvl w:val="0"/>
          <w:numId w:val="7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Статья 360.1 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ТК РФ - Увеличение полномочий инспекторов ГИТ «Порядок принудительного исполнения обязанности работодателя по выплате начисленной заработной платы».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Изменения в порядке прохождения Медицинских осмотров в 2020 г.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Важные детали. Диспансеризации работников. Дистанционное оформление больничных листов. Организация труда работников в условиях карантина и «</w:t>
      </w:r>
      <w:proofErr w:type="spellStart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посткарантина</w:t>
      </w:r>
      <w:proofErr w:type="spellEnd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» - Рекомендации (требования) </w:t>
      </w:r>
      <w:proofErr w:type="spellStart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по соблюдению санитарно-эпидемиологических требований.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Изменения в Охране труда: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proofErr w:type="spellStart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Спец.оценка</w:t>
      </w:r>
      <w:proofErr w:type="spellEnd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Требования санитарно-эпидемиологического надзора.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Иностранные работники COVID19: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меры господдержки и особенности труда, что необходимо знать.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Воинский учет – увеличение штрафов и сроков давности с 5 мая 2020 г.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Другие важные изменения Трудового законодательства на дату проведения.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Алгоритм действий Работодателей в условиях Пандемии и Экономического Кризиса: время тяжелых «вынужденных» решений.</w:t>
      </w:r>
    </w:p>
    <w:p w:rsidR="00A87D61" w:rsidRPr="00A87D61" w:rsidRDefault="00A87D61" w:rsidP="00A87D61">
      <w:pPr>
        <w:numPr>
          <w:ilvl w:val="0"/>
          <w:numId w:val="8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Антикризисные меры, которые помогут компании пережить кризис.</w:t>
      </w:r>
    </w:p>
    <w:p w:rsidR="00A87D61" w:rsidRPr="00A87D61" w:rsidRDefault="00A87D61" w:rsidP="00A87D61">
      <w:pPr>
        <w:numPr>
          <w:ilvl w:val="0"/>
          <w:numId w:val="8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Что делать с персоналом? Варианты решений.</w:t>
      </w:r>
    </w:p>
    <w:p w:rsidR="00A87D61" w:rsidRPr="00A87D61" w:rsidRDefault="00A87D61" w:rsidP="00A87D61">
      <w:pPr>
        <w:numPr>
          <w:ilvl w:val="0"/>
          <w:numId w:val="8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Обязательные действия работодателя во время Экономической нестабильности, Пандемии, Санкций.</w:t>
      </w:r>
    </w:p>
    <w:p w:rsidR="00A87D61" w:rsidRPr="00A87D61" w:rsidRDefault="00A87D61" w:rsidP="00A87D61">
      <w:pPr>
        <w:numPr>
          <w:ilvl w:val="0"/>
          <w:numId w:val="8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Оценка возможных последствий кризиса для трудовых ресурсов предприятия.</w:t>
      </w:r>
    </w:p>
    <w:p w:rsidR="00A87D61" w:rsidRPr="00A87D61" w:rsidRDefault="00A87D61" w:rsidP="00A87D61">
      <w:pPr>
        <w:numPr>
          <w:ilvl w:val="0"/>
          <w:numId w:val="8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Что не стоит делать в условиях настоящего кризиса? Как типовые (общенародные) решения могут наоборот снизить производительность и качество труда.</w:t>
      </w:r>
    </w:p>
    <w:p w:rsidR="00A87D61" w:rsidRPr="00A87D61" w:rsidRDefault="00A87D61" w:rsidP="00A87D61">
      <w:pPr>
        <w:numPr>
          <w:ilvl w:val="0"/>
          <w:numId w:val="8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Увольнение работников: современные особенности и возможные ошибки.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Современные Альтернативы к привлечению к труду (работе/ услугам) граждан.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Плюсы и минусы(риски) каждого способа.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Дистанционный труд и «самоизоляция».</w:t>
      </w:r>
    </w:p>
    <w:p w:rsidR="00A87D61" w:rsidRPr="00A87D61" w:rsidRDefault="00A87D61" w:rsidP="00A87D61">
      <w:pPr>
        <w:numPr>
          <w:ilvl w:val="0"/>
          <w:numId w:val="9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Органы исполнительной власти о дистанционной (удаленной) работе: требование или рекомендация.</w:t>
      </w:r>
    </w:p>
    <w:p w:rsidR="00A87D61" w:rsidRPr="00A87D61" w:rsidRDefault="00A87D61" w:rsidP="00A87D61">
      <w:pPr>
        <w:numPr>
          <w:ilvl w:val="0"/>
          <w:numId w:val="9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Понятие дистанционного труда, правовой режим, «подводные камни». Ограничения использования дистанционного труда.</w:t>
      </w:r>
    </w:p>
    <w:p w:rsidR="00A87D61" w:rsidRPr="00A87D61" w:rsidRDefault="00A87D61" w:rsidP="00A87D61">
      <w:pPr>
        <w:numPr>
          <w:ilvl w:val="0"/>
          <w:numId w:val="9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Кому подходит дистанционный труд, а кому нет. Дистанционный труд и Указ Президента - возможные трудности.</w:t>
      </w:r>
    </w:p>
    <w:p w:rsidR="00A87D61" w:rsidRPr="00A87D61" w:rsidRDefault="00A87D61" w:rsidP="00A87D61">
      <w:pPr>
        <w:numPr>
          <w:ilvl w:val="0"/>
          <w:numId w:val="9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Какие скрытые риски несет «массовый дистанционный труд» в условиях Сovid-19.</w:t>
      </w:r>
    </w:p>
    <w:p w:rsidR="00A87D61" w:rsidRPr="00A87D61" w:rsidRDefault="00A87D61" w:rsidP="00A87D61">
      <w:pPr>
        <w:numPr>
          <w:ilvl w:val="0"/>
          <w:numId w:val="9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 правильно перейти на дистанционный труд, что прописать в дополнительном соглашении к трудовому договору, чтобы минимизировать законодательные и производственные риски компании.</w:t>
      </w:r>
    </w:p>
    <w:p w:rsidR="00A87D61" w:rsidRPr="00A87D61" w:rsidRDefault="00A87D61" w:rsidP="00A87D61">
      <w:pPr>
        <w:numPr>
          <w:ilvl w:val="0"/>
          <w:numId w:val="9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Дистанционный труд и неполное рабочее время.</w:t>
      </w:r>
    </w:p>
    <w:p w:rsidR="00A87D61" w:rsidRPr="00A87D61" w:rsidRDefault="00A87D61" w:rsidP="00A87D61">
      <w:pPr>
        <w:numPr>
          <w:ilvl w:val="0"/>
          <w:numId w:val="9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Заключение трудового договора при удаленном труде, цифровая подпись. Что обязательно прописать в трудовом договоре с дистанционным работником, чтобы защитить интересы компании. Какую систему оплаты туда выбрать.</w:t>
      </w:r>
    </w:p>
    <w:p w:rsidR="00A87D61" w:rsidRPr="00A87D61" w:rsidRDefault="00A87D61" w:rsidP="00A87D61">
      <w:pPr>
        <w:numPr>
          <w:ilvl w:val="0"/>
          <w:numId w:val="9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Режим рабочего времени и времени отдыха дистанционного работника. Нужно ли вести Табель учета рабочего времени дистанционного работника?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Договора ГПХ (выполнение работ/оказание услуг).</w:t>
      </w:r>
    </w:p>
    <w:p w:rsidR="00A87D61" w:rsidRPr="00A87D61" w:rsidRDefault="00A87D61" w:rsidP="00A87D61">
      <w:pPr>
        <w:numPr>
          <w:ilvl w:val="0"/>
          <w:numId w:val="10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Договор ГПХ с физическим лицом: изучаем важные аспекты для законного заключения договора, существенные условия договора, формулировки договора.</w:t>
      </w:r>
    </w:p>
    <w:p w:rsidR="00A87D61" w:rsidRPr="00A87D61" w:rsidRDefault="00A87D61" w:rsidP="00A87D61">
      <w:pPr>
        <w:numPr>
          <w:ilvl w:val="0"/>
          <w:numId w:val="10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Упрощенный порядок признания, ответственность за уклонение от заключения трудового договора.</w:t>
      </w:r>
    </w:p>
    <w:p w:rsidR="00A87D61" w:rsidRPr="00A87D61" w:rsidRDefault="00A87D61" w:rsidP="00A87D61">
      <w:pPr>
        <w:numPr>
          <w:ilvl w:val="0"/>
          <w:numId w:val="10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Внесение изменение с 2018 года в ст. 360 ТК РФ: увеличение оснований для внеплановой проверки ГИТ – новый механизм увеличения количества внеплановых проверок (по жалобе) на работодателей, ненадлежащим образом оформляющих своих работников.</w:t>
      </w:r>
    </w:p>
    <w:p w:rsidR="00A87D61" w:rsidRPr="00A87D61" w:rsidRDefault="00A87D61" w:rsidP="00A87D61">
      <w:pPr>
        <w:numPr>
          <w:ilvl w:val="0"/>
          <w:numId w:val="10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Критерии анализа условий договоров при проверке Государственной инспекции труда.</w:t>
      </w:r>
    </w:p>
    <w:p w:rsidR="00A87D61" w:rsidRPr="00A87D61" w:rsidRDefault="00A87D61" w:rsidP="00A87D61">
      <w:pPr>
        <w:numPr>
          <w:ilvl w:val="0"/>
          <w:numId w:val="10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Основания признания отношений трудовыми: Новейшая Судебная практика и Позиция Верховного Суда РФ.</w:t>
      </w:r>
    </w:p>
    <w:p w:rsidR="00A87D61" w:rsidRPr="00A87D61" w:rsidRDefault="00A87D61" w:rsidP="00A87D61">
      <w:pPr>
        <w:numPr>
          <w:ilvl w:val="0"/>
          <w:numId w:val="10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 доказать обоснованность заключения гражданско-правового договора и пройти проверку ГИТ без штрафов за договора ГПХ.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Самозанятые</w:t>
      </w:r>
      <w:proofErr w:type="spellEnd"/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» - новый популярный тренд в трудовых отношениях».</w:t>
      </w:r>
    </w:p>
    <w:p w:rsidR="00A87D61" w:rsidRPr="00A87D61" w:rsidRDefault="00A87D61" w:rsidP="00A87D61">
      <w:pPr>
        <w:numPr>
          <w:ilvl w:val="0"/>
          <w:numId w:val="11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Федеральный закон от 27.11.2018 N 422-ФЗ. Успешный эксперимент будет развиваться на всю территорию РФ.</w:t>
      </w:r>
    </w:p>
    <w:p w:rsidR="00A87D61" w:rsidRPr="00A87D61" w:rsidRDefault="00A87D61" w:rsidP="00A87D61">
      <w:pPr>
        <w:numPr>
          <w:ilvl w:val="0"/>
          <w:numId w:val="11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Правовое регулирование отношений с </w:t>
      </w:r>
      <w:proofErr w:type="spellStart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самозанятыми</w:t>
      </w:r>
      <w:proofErr w:type="spellEnd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работниками.</w:t>
      </w:r>
    </w:p>
    <w:p w:rsidR="00A87D61" w:rsidRPr="00A87D61" w:rsidRDefault="00A87D61" w:rsidP="00A87D61">
      <w:pPr>
        <w:numPr>
          <w:ilvl w:val="0"/>
          <w:numId w:val="11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Плюсы для компаний (Работодателей).</w:t>
      </w:r>
    </w:p>
    <w:p w:rsidR="00A87D61" w:rsidRPr="00A87D61" w:rsidRDefault="00A87D61" w:rsidP="00A87D61">
      <w:pPr>
        <w:numPr>
          <w:ilvl w:val="0"/>
          <w:numId w:val="11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Необходимые условия для отношений с </w:t>
      </w:r>
      <w:proofErr w:type="spellStart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самозанятыми</w:t>
      </w:r>
      <w:proofErr w:type="spellEnd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 нюансы и особенности.</w:t>
      </w:r>
    </w:p>
    <w:p w:rsidR="00A87D61" w:rsidRPr="00A87D61" w:rsidRDefault="00A87D61" w:rsidP="00A87D61">
      <w:pPr>
        <w:numPr>
          <w:ilvl w:val="0"/>
          <w:numId w:val="11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Что необходимо учесть, чтобы ФНС не признала их работниками и не привлекло к ответственности.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Увольнение работников – актуальные тренды и современные ошибки.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Изменение определенных сторонами условий трудового договора – ст.74 и п.7. ст. 77 ТК РФ. Вынужденная трансформация трудовых отношений.</w:t>
      </w:r>
    </w:p>
    <w:p w:rsidR="00A87D61" w:rsidRPr="00A87D61" w:rsidRDefault="00A87D61" w:rsidP="00A87D61">
      <w:pPr>
        <w:numPr>
          <w:ilvl w:val="0"/>
          <w:numId w:val="1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Оптимизация фонда оплаты труда с сохранением штата работников.</w:t>
      </w:r>
    </w:p>
    <w:p w:rsidR="00A87D61" w:rsidRPr="00A87D61" w:rsidRDefault="00A87D61" w:rsidP="00A87D61">
      <w:pPr>
        <w:numPr>
          <w:ilvl w:val="0"/>
          <w:numId w:val="1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Оплата труда (система труда), Рабочее время, </w:t>
      </w:r>
      <w:proofErr w:type="gramStart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Объем</w:t>
      </w:r>
      <w:proofErr w:type="gramEnd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должностных обязанностей - три современных тренда изменения условий договора в условиях экономического кризиса.</w:t>
      </w:r>
    </w:p>
    <w:p w:rsidR="00A87D61" w:rsidRPr="00A87D61" w:rsidRDefault="00A87D61" w:rsidP="00A87D61">
      <w:pPr>
        <w:numPr>
          <w:ilvl w:val="0"/>
          <w:numId w:val="1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Изменение условий трудового договора по инициативе работодателя вследствие изменения организационных или технологических условий труда. Какие условия договора можно изменить и в каких случаях, а какие рискованно и проблематично.</w:t>
      </w:r>
    </w:p>
    <w:p w:rsidR="00A87D61" w:rsidRPr="00A87D61" w:rsidRDefault="00A87D61" w:rsidP="00A87D61">
      <w:pPr>
        <w:numPr>
          <w:ilvl w:val="0"/>
          <w:numId w:val="1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Оформление изменения условий трудового договора (переименование должности, структурного подразделения, условия оплаты труда, характер и время работы…).</w:t>
      </w:r>
    </w:p>
    <w:p w:rsidR="00A87D61" w:rsidRPr="00A87D61" w:rsidRDefault="00A87D61" w:rsidP="00A87D61">
      <w:pPr>
        <w:numPr>
          <w:ilvl w:val="0"/>
          <w:numId w:val="1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Уведомление работника об изменении трудового договора. Предложение вакансий при отказе работника от работы в новых условиях. Увольнение работника по п.7 ст.77 ТК РФ.</w:t>
      </w:r>
    </w:p>
    <w:p w:rsidR="00A87D61" w:rsidRPr="00A87D61" w:rsidRDefault="00A87D61" w:rsidP="00A87D61">
      <w:pPr>
        <w:numPr>
          <w:ilvl w:val="0"/>
          <w:numId w:val="1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Возможные негативные последствия неправильного применения норм трудового законодательства.</w:t>
      </w:r>
    </w:p>
    <w:p w:rsidR="00A87D61" w:rsidRPr="00A87D61" w:rsidRDefault="00A87D61" w:rsidP="00A87D61">
      <w:pPr>
        <w:numPr>
          <w:ilvl w:val="0"/>
          <w:numId w:val="1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Судебная практика по увольнению (п.7 ст.77 ТК РФ). Учитываем положительный и отрицательный опыт других компаний, а также современные обстоятельства при принятии решений.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Ошибки, допускаемые при увольнении по инициативе работодателя, выявленные судами: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прогул, неисполнение должностных обязанностей, сокращение штата. Что необходимо знать и учесть – учимся на чужих ошибках.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Расторжение трудового договора по соглашению сторон №”1” в списке оснований прекращения трудовых отношений.</w:t>
      </w:r>
    </w:p>
    <w:p w:rsidR="00A87D61" w:rsidRPr="00A87D61" w:rsidRDefault="00A87D61" w:rsidP="00A87D61">
      <w:pPr>
        <w:numPr>
          <w:ilvl w:val="0"/>
          <w:numId w:val="13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Плюсы и минусы данного увольнения. Определяем выходное пособие, исходя из интересов компании.</w:t>
      </w:r>
    </w:p>
    <w:p w:rsidR="00A87D61" w:rsidRPr="00A87D61" w:rsidRDefault="00A87D61" w:rsidP="00A87D61">
      <w:pPr>
        <w:numPr>
          <w:ilvl w:val="0"/>
          <w:numId w:val="13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 правильно провести переговоры с работником с целью заключения соглашения о расторжении трудового договора с заданным бюджетом.</w:t>
      </w:r>
    </w:p>
    <w:p w:rsidR="00A87D61" w:rsidRPr="00A87D61" w:rsidRDefault="00A87D61" w:rsidP="00A87D61">
      <w:pPr>
        <w:numPr>
          <w:ilvl w:val="0"/>
          <w:numId w:val="13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Что необходимо прописать в соглашении о расторжении, чтобы у работника не было возможности оспорить его в суде по различным причинам: давление, нетрудоспособность.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Ответы на вопросы участников семинара, построение алгоритма увольнения «проблемных» работников.</w:t>
      </w:r>
    </w:p>
    <w:p w:rsid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</w:p>
    <w:p w:rsidR="00A87D61" w:rsidRP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</w:t>
      </w:r>
      <w:r w:rsidRPr="00A87D6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есто проведения</w:t>
      </w:r>
    </w:p>
    <w:p w:rsidR="00A87D61" w:rsidRPr="00A87D61" w:rsidRDefault="00A87D61" w:rsidP="00A87D61">
      <w:pPr>
        <w:spacing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г. Москва, бизнес-центр «Виктория Плаза», ул. Бауманская д. 6, стр. 2, в пяти минутах от м. Бауманская. Всем участникам высылается подробная схема проезда на семинар.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  <w:hyperlink r:id="rId5" w:history="1">
        <w:r w:rsidRPr="00A87D61">
          <w:rPr>
            <w:rFonts w:ascii="PT Sans" w:eastAsia="Times New Roman" w:hAnsi="PT Sans" w:cs="Times New Roman"/>
            <w:color w:val="660099"/>
            <w:sz w:val="21"/>
            <w:szCs w:val="21"/>
            <w:u w:val="single"/>
            <w:lang w:eastAsia="ru-RU"/>
          </w:rPr>
          <w:t>Показать на карте</w:t>
        </w:r>
      </w:hyperlink>
    </w:p>
    <w:p w:rsidR="00A87D61" w:rsidRPr="00A87D61" w:rsidRDefault="00A87D61" w:rsidP="00A87D61">
      <w:pPr>
        <w:spacing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Иногородним клиентам оказывается помощь в бронировании гостиницы на период прохождения обучения.</w:t>
      </w:r>
    </w:p>
    <w:p w:rsidR="00A87D61" w:rsidRP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Дата и время проведения</w:t>
      </w:r>
    </w:p>
    <w:p w:rsidR="00A87D61" w:rsidRPr="00A87D61" w:rsidRDefault="00A87D61" w:rsidP="00A87D61">
      <w:pPr>
        <w:spacing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23 Июля 2020 с 10:00 до 17:30</w:t>
      </w:r>
    </w:p>
    <w:p w:rsidR="00A87D61" w:rsidRP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Формат обучения</w:t>
      </w:r>
    </w:p>
    <w:p w:rsidR="00A87D61" w:rsidRPr="00A87D61" w:rsidRDefault="00A87D61" w:rsidP="00A87D61">
      <w:pPr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Семинар, Онлайн-трансляция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hyperlink r:id="rId6" w:tgtFrame="_blank" w:history="1">
        <w:r w:rsidRPr="00A87D61">
          <w:rPr>
            <w:rFonts w:ascii="PT Sans" w:eastAsia="Times New Roman" w:hAnsi="PT Sans" w:cs="Times New Roman"/>
            <w:color w:val="660099"/>
            <w:sz w:val="21"/>
            <w:szCs w:val="21"/>
            <w:u w:val="single"/>
            <w:lang w:eastAsia="ru-RU"/>
          </w:rPr>
          <w:t>Проверка онлайн-трансляции</w:t>
        </w:r>
      </w:hyperlink>
    </w:p>
    <w:p w:rsidR="00A87D61" w:rsidRPr="00A87D61" w:rsidRDefault="00A87D61" w:rsidP="00A87D61">
      <w:pPr>
        <w:spacing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Возможно </w:t>
      </w:r>
      <w:hyperlink r:id="rId7" w:history="1">
        <w:r w:rsidRPr="00A87D61">
          <w:rPr>
            <w:rFonts w:ascii="PT Sans" w:eastAsia="Times New Roman" w:hAnsi="PT Sans" w:cs="Times New Roman"/>
            <w:color w:val="660099"/>
            <w:sz w:val="21"/>
            <w:szCs w:val="21"/>
            <w:u w:val="single"/>
            <w:lang w:eastAsia="ru-RU"/>
          </w:rPr>
          <w:t>заказать в корпоративном формате</w:t>
        </w:r>
      </w:hyperlink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(обучение не менее 10 сотрудников по программе, адаптированной под потребности компании).</w:t>
      </w:r>
    </w:p>
    <w:p w:rsidR="00A87D61" w:rsidRP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Документ по окончании обучения</w:t>
      </w:r>
    </w:p>
    <w:p w:rsidR="00A87D61" w:rsidRPr="00A87D61" w:rsidRDefault="00A87D61" w:rsidP="00A87D61">
      <w:pPr>
        <w:spacing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noProof/>
          <w:color w:val="660099"/>
          <w:sz w:val="21"/>
          <w:szCs w:val="21"/>
          <w:lang w:eastAsia="ru-RU"/>
        </w:rPr>
        <w:lastRenderedPageBreak/>
        <w:drawing>
          <wp:inline distT="0" distB="0" distL="0" distR="0" wp14:anchorId="54BF92FA" wp14:editId="297C9AED">
            <wp:extent cx="1619250" cy="1143000"/>
            <wp:effectExtent l="0" t="0" r="0" b="0"/>
            <wp:docPr id="1" name="Рисунок 1" descr="https://www.fcaudit.ru/resize/170x0x0x0x100xN/upload/iblock/40b/sertificat_seminar_moskva-1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caudit.ru/resize/170x0x0x0x100xN/upload/iblock/40b/sertificat_seminar_moskva-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Сертификат об участии в семинаре.</w:t>
      </w:r>
    </w:p>
    <w:p w:rsidR="00A87D61" w:rsidRP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Для участников предусмотрено</w:t>
      </w:r>
    </w:p>
    <w:p w:rsidR="00A87D61" w:rsidRPr="00A87D61" w:rsidRDefault="00A87D61" w:rsidP="00A87D61">
      <w:pPr>
        <w:spacing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Методический материал, обеды, кофе-паузы.</w:t>
      </w:r>
    </w:p>
    <w:p w:rsidR="00A87D61" w:rsidRP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Цели семинара/курса</w:t>
      </w:r>
    </w:p>
    <w:p w:rsidR="00A87D61" w:rsidRPr="00A87D61" w:rsidRDefault="00A87D61" w:rsidP="00A87D61">
      <w:pPr>
        <w:numPr>
          <w:ilvl w:val="0"/>
          <w:numId w:val="1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Современное информирование участников семинара об изменениях трудового законодательства с целью выявления плюсов и минусов нововведений для компании во избежание штрафов.</w:t>
      </w:r>
    </w:p>
    <w:p w:rsidR="00A87D61" w:rsidRPr="00A87D61" w:rsidRDefault="00A87D61" w:rsidP="00A87D61">
      <w:pPr>
        <w:numPr>
          <w:ilvl w:val="0"/>
          <w:numId w:val="1"/>
        </w:numPr>
        <w:spacing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Разбор </w:t>
      </w:r>
      <w:proofErr w:type="gramStart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практических ситуаций</w:t>
      </w:r>
      <w:proofErr w:type="gramEnd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наиболее часто встречающихся в организациях и на предприятиях.</w:t>
      </w:r>
    </w:p>
    <w:p w:rsidR="00A87D61" w:rsidRP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Особенности программы</w:t>
      </w:r>
    </w:p>
    <w:p w:rsidR="00A87D61" w:rsidRPr="00A87D61" w:rsidRDefault="00A87D61" w:rsidP="00A87D61">
      <w:pPr>
        <w:spacing w:before="225" w:after="225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Данная программа позволяет увидеть плюсы или возможные минусы нововведений для компании, чтобы получить преимущества по управлению персоналом или избежать ошибок и штрафов.</w:t>
      </w:r>
    </w:p>
    <w:p w:rsidR="00A87D61" w:rsidRPr="00A87D61" w:rsidRDefault="00A87D61" w:rsidP="00A87D61">
      <w:pPr>
        <w:spacing w:before="225" w:after="225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семинаре будут даны ответы на вопросы, связанные с внедрением электронных книжек, предоставлен пошаговый алгоритм перехода на электронные книжки и даны практические рекомендации по порядку и сроком проведения работы по информированию работников о нововведениях.</w:t>
      </w:r>
    </w:p>
    <w:p w:rsidR="00A87D61" w:rsidRPr="00A87D61" w:rsidRDefault="00A87D61" w:rsidP="00A87D61">
      <w:pPr>
        <w:spacing w:before="225" w:after="225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 программу семинара включены разделы «Современные Альтернативы привлечения к труду» и «Актуальные тренды Увольнения работников», которые отражают современные потребности HR, а главное, позволяют ответить на сложные вопросы, с применением современных судебных позиций и успешно решить поставленные руководством компании </w:t>
      </w:r>
      <w:proofErr w:type="gramStart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задачи</w:t>
      </w:r>
      <w:proofErr w:type="gramEnd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связанные с персоналом.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 результате обучения участники узнают:</w:t>
      </w:r>
    </w:p>
    <w:p w:rsidR="00A87D61" w:rsidRPr="00A87D61" w:rsidRDefault="00A87D61" w:rsidP="00A87D61">
      <w:pPr>
        <w:numPr>
          <w:ilvl w:val="0"/>
          <w:numId w:val="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какие изменения произошли и ожидают нас в связи с реализацией гос. программы «Цифровая Экономика», какие новые возможности и преимущества она несет работодателю;</w:t>
      </w:r>
    </w:p>
    <w:p w:rsidR="00A87D61" w:rsidRPr="00A87D61" w:rsidRDefault="00A87D61" w:rsidP="00A87D61">
      <w:pPr>
        <w:numPr>
          <w:ilvl w:val="0"/>
          <w:numId w:val="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плюсы и минусы нововведений по электронным трудовым книжкам, а также необходимые действия (пошаговый алгоритм), которые нужно сделать кадровому специалисту;</w:t>
      </w:r>
    </w:p>
    <w:p w:rsidR="00A87D61" w:rsidRPr="00A87D61" w:rsidRDefault="00A87D61" w:rsidP="00A87D61">
      <w:pPr>
        <w:numPr>
          <w:ilvl w:val="0"/>
          <w:numId w:val="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какие условия трудового договора можно изменить, а какие нельзя, и как это делать без ошибок?</w:t>
      </w:r>
    </w:p>
    <w:p w:rsidR="00A87D61" w:rsidRPr="00A87D61" w:rsidRDefault="00A87D61" w:rsidP="00A87D61">
      <w:pPr>
        <w:numPr>
          <w:ilvl w:val="0"/>
          <w:numId w:val="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современные альтернативы привлечения к труду граждан, а также плюсы/ минусы каждого из способов;</w:t>
      </w:r>
    </w:p>
    <w:p w:rsidR="00A87D61" w:rsidRPr="00A87D61" w:rsidRDefault="00A87D61" w:rsidP="00A87D61">
      <w:pPr>
        <w:numPr>
          <w:ilvl w:val="0"/>
          <w:numId w:val="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 актуальных трендах прекращения трудовых отношений, как правильно уволить работника с учетом новейших позиций судов;</w:t>
      </w:r>
    </w:p>
    <w:p w:rsidR="00A87D61" w:rsidRPr="00A87D61" w:rsidRDefault="00A87D61" w:rsidP="00A87D61">
      <w:pPr>
        <w:numPr>
          <w:ilvl w:val="0"/>
          <w:numId w:val="2"/>
        </w:numPr>
        <w:spacing w:after="15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 успешном противостоянии работодателя при столкновении с «кадровым экстремизмом» со стороны работников.</w:t>
      </w:r>
    </w:p>
    <w:p w:rsidR="00A87D61" w:rsidRPr="00A87D61" w:rsidRDefault="00A87D61" w:rsidP="00A87D61">
      <w:pPr>
        <w:spacing w:after="0" w:line="300" w:lineRule="atLeas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Уникальность программы:</w:t>
      </w:r>
    </w:p>
    <w:p w:rsidR="00A87D61" w:rsidRPr="00A87D61" w:rsidRDefault="00A87D61" w:rsidP="00A87D61">
      <w:pPr>
        <w:numPr>
          <w:ilvl w:val="0"/>
          <w:numId w:val="3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АКТУАЛЬНОСТЬ.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В летний период было много внесено изменений в законодательство.</w:t>
      </w:r>
    </w:p>
    <w:p w:rsidR="00A87D61" w:rsidRPr="00A87D61" w:rsidRDefault="00A87D61" w:rsidP="00A87D61">
      <w:pPr>
        <w:numPr>
          <w:ilvl w:val="0"/>
          <w:numId w:val="3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ПРАКТИКА.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На семинаре эксперт разберет реальные ситуации сложных увольнений из своего опыта «увольнение по заказу».</w:t>
      </w:r>
    </w:p>
    <w:p w:rsidR="00A87D61" w:rsidRPr="00A87D61" w:rsidRDefault="00A87D61" w:rsidP="00A87D61">
      <w:pPr>
        <w:numPr>
          <w:ilvl w:val="0"/>
          <w:numId w:val="3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ТОНКОСТИ РОССИЙСКОГО ТРУДОВОГО ЗАКОНОДАТЕЛЬСТВА.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Особое внимание будет уделено тонкостям применения на практике Трудового кодекса, нормативных актов в интересах Работодателя. Вы будете удивлены, когда узнаете, какими инструментами наделяет законодательство Работодателя!</w:t>
      </w:r>
    </w:p>
    <w:p w:rsidR="00A87D61" w:rsidRPr="00A87D61" w:rsidRDefault="00A87D61" w:rsidP="00A87D61">
      <w:pPr>
        <w:numPr>
          <w:ilvl w:val="0"/>
          <w:numId w:val="3"/>
        </w:numPr>
        <w:spacing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ИНСТРУМЕНТЫ.</w:t>
      </w: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Эксперт поделится своими практическими методами и приемами, которые помогли крупнейшим компаниям России решить сложные задачи трудовых отношений.</w:t>
      </w:r>
    </w:p>
    <w:p w:rsidR="00A87D61" w:rsidRPr="00A87D61" w:rsidRDefault="00A87D61" w:rsidP="00A87D61">
      <w:pPr>
        <w:spacing w:before="150" w:after="75" w:line="240" w:lineRule="auto"/>
        <w:outlineLvl w:val="2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A87D6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Для кого предназначен</w:t>
      </w:r>
    </w:p>
    <w:p w:rsidR="00A87D61" w:rsidRPr="00A87D61" w:rsidRDefault="00A87D61" w:rsidP="00A87D61">
      <w:pPr>
        <w:numPr>
          <w:ilvl w:val="0"/>
          <w:numId w:val="4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hyperlink r:id="rId10" w:history="1">
        <w:r w:rsidRPr="00A87D61">
          <w:rPr>
            <w:rFonts w:ascii="PT Sans" w:eastAsia="Times New Roman" w:hAnsi="PT Sans" w:cs="Times New Roman"/>
            <w:color w:val="660099"/>
            <w:sz w:val="21"/>
            <w:szCs w:val="21"/>
            <w:u w:val="single"/>
            <w:lang w:eastAsia="ru-RU"/>
          </w:rPr>
          <w:t>Генеральный директор (CEO)</w:t>
        </w:r>
      </w:hyperlink>
    </w:p>
    <w:p w:rsidR="00A87D61" w:rsidRPr="00A87D61" w:rsidRDefault="00A87D61" w:rsidP="00A87D61">
      <w:pPr>
        <w:numPr>
          <w:ilvl w:val="0"/>
          <w:numId w:val="4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hyperlink r:id="rId11" w:history="1">
        <w:r w:rsidRPr="00A87D61">
          <w:rPr>
            <w:rFonts w:ascii="PT Sans" w:eastAsia="Times New Roman" w:hAnsi="PT Sans" w:cs="Times New Roman"/>
            <w:color w:val="660099"/>
            <w:sz w:val="21"/>
            <w:szCs w:val="21"/>
            <w:u w:val="single"/>
            <w:lang w:eastAsia="ru-RU"/>
          </w:rPr>
          <w:t>Директор по персоналу, HR-директор</w:t>
        </w:r>
      </w:hyperlink>
    </w:p>
    <w:p w:rsidR="00A87D61" w:rsidRPr="00A87D61" w:rsidRDefault="00A87D61" w:rsidP="00A87D61">
      <w:pPr>
        <w:numPr>
          <w:ilvl w:val="0"/>
          <w:numId w:val="4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hyperlink r:id="rId12" w:history="1">
        <w:r w:rsidRPr="00A87D61">
          <w:rPr>
            <w:rFonts w:ascii="PT Sans" w:eastAsia="Times New Roman" w:hAnsi="PT Sans" w:cs="Times New Roman"/>
            <w:color w:val="660099"/>
            <w:sz w:val="21"/>
            <w:szCs w:val="21"/>
            <w:u w:val="single"/>
            <w:lang w:eastAsia="ru-RU"/>
          </w:rPr>
          <w:t>Менеджер по персоналу</w:t>
        </w:r>
      </w:hyperlink>
    </w:p>
    <w:p w:rsidR="00A87D61" w:rsidRPr="00A87D61" w:rsidRDefault="00A87D61" w:rsidP="00A87D61">
      <w:pPr>
        <w:numPr>
          <w:ilvl w:val="0"/>
          <w:numId w:val="4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hyperlink r:id="rId13" w:history="1">
        <w:r w:rsidRPr="00A87D61">
          <w:rPr>
            <w:rFonts w:ascii="PT Sans" w:eastAsia="Times New Roman" w:hAnsi="PT Sans" w:cs="Times New Roman"/>
            <w:color w:val="660099"/>
            <w:sz w:val="21"/>
            <w:szCs w:val="21"/>
            <w:u w:val="single"/>
            <w:lang w:eastAsia="ru-RU"/>
          </w:rPr>
          <w:t>Менеджер по подбору персонала</w:t>
        </w:r>
      </w:hyperlink>
    </w:p>
    <w:p w:rsidR="00A87D61" w:rsidRPr="00A87D61" w:rsidRDefault="00A87D61" w:rsidP="00A87D61">
      <w:pPr>
        <w:numPr>
          <w:ilvl w:val="0"/>
          <w:numId w:val="4"/>
        </w:numPr>
        <w:spacing w:after="0" w:line="240" w:lineRule="auto"/>
        <w:ind w:left="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hyperlink r:id="rId14" w:history="1">
        <w:r w:rsidRPr="00A87D61">
          <w:rPr>
            <w:rFonts w:ascii="PT Sans" w:eastAsia="Times New Roman" w:hAnsi="PT Sans" w:cs="Times New Roman"/>
            <w:color w:val="660099"/>
            <w:sz w:val="21"/>
            <w:szCs w:val="21"/>
            <w:u w:val="single"/>
            <w:lang w:eastAsia="ru-RU"/>
          </w:rPr>
          <w:t>Юрист</w:t>
        </w:r>
      </w:hyperlink>
    </w:p>
    <w:p w:rsidR="00A87D61" w:rsidRPr="00A87D61" w:rsidRDefault="00A87D61" w:rsidP="00A87D61">
      <w:pPr>
        <w:spacing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Генеральных директоров, директоров по персоналу, HR партнеров, HR-</w:t>
      </w:r>
      <w:proofErr w:type="spellStart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generalist</w:t>
      </w:r>
      <w:proofErr w:type="spellEnd"/>
      <w:r w:rsidRPr="00A87D6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руководителей отдела персонала, начальников отдела кадров, начальников отдела подбора и развития персонала, менеджеров по персоналу, юристов, менеджеров по кадровому администрированию.</w:t>
      </w:r>
    </w:p>
    <w:p w:rsidR="000F01FA" w:rsidRPr="000F01FA" w:rsidRDefault="000F01FA" w:rsidP="000F01FA">
      <w:pPr>
        <w:spacing w:after="0" w:line="240" w:lineRule="auto"/>
        <w:rPr>
          <w:rFonts w:ascii="GalsC" w:eastAsia="Times New Roman" w:hAnsi="GalsC" w:cs="Times New Roman"/>
          <w:b/>
          <w:bCs/>
          <w:color w:val="000000"/>
          <w:spacing w:val="30"/>
          <w:sz w:val="21"/>
          <w:szCs w:val="21"/>
          <w:lang w:eastAsia="ru-RU"/>
        </w:rPr>
      </w:pPr>
      <w:r w:rsidRPr="000F01FA"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  <w:t>Артикул:</w:t>
      </w:r>
      <w:r w:rsidRPr="000F01FA">
        <w:rPr>
          <w:rFonts w:ascii="GalsC" w:eastAsia="Times New Roman" w:hAnsi="GalsC" w:cs="Times New Roman"/>
          <w:b/>
          <w:bCs/>
          <w:color w:val="000000"/>
          <w:spacing w:val="30"/>
          <w:sz w:val="21"/>
          <w:szCs w:val="21"/>
          <w:lang w:eastAsia="ru-RU"/>
        </w:rPr>
        <w:t> МС13125</w:t>
      </w:r>
    </w:p>
    <w:p w:rsidR="000F01FA" w:rsidRPr="000F01FA" w:rsidRDefault="000F01FA" w:rsidP="000F01FA">
      <w:pPr>
        <w:spacing w:after="0" w:line="210" w:lineRule="atLeast"/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</w:pPr>
      <w:r w:rsidRPr="000F01FA"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  <w:t>Стоимость участия:</w:t>
      </w:r>
    </w:p>
    <w:p w:rsidR="000F01FA" w:rsidRPr="000F01FA" w:rsidRDefault="000F01FA" w:rsidP="000F01FA">
      <w:pPr>
        <w:spacing w:after="0" w:line="240" w:lineRule="auto"/>
        <w:rPr>
          <w:rFonts w:ascii="GalsC" w:eastAsia="Times New Roman" w:hAnsi="GalsC" w:cs="Times New Roman"/>
          <w:caps/>
          <w:color w:val="000000"/>
          <w:spacing w:val="15"/>
          <w:sz w:val="60"/>
          <w:szCs w:val="60"/>
          <w:lang w:eastAsia="ru-RU"/>
        </w:rPr>
      </w:pPr>
      <w:r w:rsidRPr="000F01FA">
        <w:rPr>
          <w:rFonts w:ascii="GalsC" w:eastAsia="Times New Roman" w:hAnsi="GalsC" w:cs="Times New Roman"/>
          <w:caps/>
          <w:color w:val="000000"/>
          <w:spacing w:val="15"/>
          <w:sz w:val="60"/>
          <w:szCs w:val="60"/>
          <w:lang w:eastAsia="ru-RU"/>
        </w:rPr>
        <w:t>13 400</w:t>
      </w:r>
      <w:r w:rsidRPr="000F01FA">
        <w:rPr>
          <w:rFonts w:ascii="PT Sans" w:eastAsia="Times New Roman" w:hAnsi="PT Sans" w:cs="Times New Roman"/>
          <w:b/>
          <w:bCs/>
          <w:caps/>
          <w:color w:val="000000"/>
          <w:spacing w:val="15"/>
          <w:sz w:val="47"/>
          <w:szCs w:val="47"/>
          <w:lang w:eastAsia="ru-RU"/>
        </w:rPr>
        <w:t>₽</w:t>
      </w:r>
    </w:p>
    <w:p w:rsidR="000F01FA" w:rsidRPr="000F01FA" w:rsidRDefault="000F01FA" w:rsidP="000F01FA">
      <w:pPr>
        <w:spacing w:after="0" w:line="240" w:lineRule="auto"/>
        <w:rPr>
          <w:rFonts w:ascii="GalsC" w:eastAsia="Times New Roman" w:hAnsi="GalsC" w:cs="Times New Roman"/>
          <w:caps/>
          <w:color w:val="A1A1A1"/>
          <w:spacing w:val="15"/>
          <w:sz w:val="33"/>
          <w:szCs w:val="33"/>
          <w:lang w:eastAsia="ru-RU"/>
        </w:rPr>
      </w:pPr>
      <w:r w:rsidRPr="000F01FA">
        <w:rPr>
          <w:rFonts w:ascii="GalsC" w:eastAsia="Times New Roman" w:hAnsi="GalsC" w:cs="Times New Roman"/>
          <w:caps/>
          <w:color w:val="A1A1A1"/>
          <w:spacing w:val="15"/>
          <w:sz w:val="33"/>
          <w:szCs w:val="33"/>
          <w:lang w:eastAsia="ru-RU"/>
        </w:rPr>
        <w:t>12 596</w:t>
      </w:r>
      <w:r w:rsidRPr="000F01FA">
        <w:rPr>
          <w:rFonts w:ascii="PT Sans" w:eastAsia="Times New Roman" w:hAnsi="PT Sans" w:cs="Times New Roman"/>
          <w:b/>
          <w:bCs/>
          <w:caps/>
          <w:color w:val="A1A1A1"/>
          <w:spacing w:val="15"/>
          <w:sz w:val="30"/>
          <w:szCs w:val="30"/>
          <w:lang w:eastAsia="ru-RU"/>
        </w:rPr>
        <w:t>₽</w:t>
      </w:r>
      <w:r w:rsidRPr="000F01FA">
        <w:rPr>
          <w:rFonts w:ascii="GalsC" w:eastAsia="Times New Roman" w:hAnsi="GalsC" w:cs="Times New Roman"/>
          <w:caps/>
          <w:color w:val="A1A1A1"/>
          <w:spacing w:val="15"/>
          <w:sz w:val="33"/>
          <w:szCs w:val="33"/>
          <w:lang w:eastAsia="ru-RU"/>
        </w:rPr>
        <w:t> </w:t>
      </w:r>
      <w:r w:rsidRPr="000F01FA">
        <w:rPr>
          <w:rFonts w:ascii="PT Sans" w:eastAsia="Times New Roman" w:hAnsi="PT Sans" w:cs="Times New Roman"/>
          <w:caps/>
          <w:color w:val="A1A1A1"/>
          <w:spacing w:val="15"/>
          <w:sz w:val="33"/>
          <w:szCs w:val="33"/>
          <w:lang w:eastAsia="ru-RU"/>
        </w:rPr>
        <w:t>*</w:t>
      </w:r>
    </w:p>
    <w:p w:rsidR="000F01FA" w:rsidRPr="000F01FA" w:rsidRDefault="000F01FA" w:rsidP="000F01FA">
      <w:pPr>
        <w:spacing w:after="75" w:line="210" w:lineRule="atLeast"/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</w:pPr>
      <w:r w:rsidRPr="000F01FA"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  <w:t>* При регистрации на сайте</w:t>
      </w:r>
    </w:p>
    <w:p w:rsidR="000F01FA" w:rsidRPr="000F01FA" w:rsidRDefault="000F01FA" w:rsidP="000F01FA">
      <w:pPr>
        <w:spacing w:after="0" w:line="240" w:lineRule="auto"/>
        <w:rPr>
          <w:rFonts w:ascii="PT Sans" w:eastAsia="Times New Roman" w:hAnsi="PT Sans" w:cs="Times New Roman"/>
          <w:color w:val="666666"/>
          <w:spacing w:val="15"/>
          <w:sz w:val="18"/>
          <w:szCs w:val="18"/>
          <w:lang w:eastAsia="ru-RU"/>
        </w:rPr>
      </w:pPr>
      <w:r w:rsidRPr="000F01FA">
        <w:rPr>
          <w:rFonts w:ascii="PT Sans" w:eastAsia="Times New Roman" w:hAnsi="PT Sans" w:cs="Times New Roman"/>
          <w:color w:val="666666"/>
          <w:spacing w:val="15"/>
          <w:sz w:val="18"/>
          <w:szCs w:val="18"/>
          <w:lang w:eastAsia="ru-RU"/>
        </w:rPr>
        <w:t>НДС не облагается</w:t>
      </w:r>
    </w:p>
    <w:p w:rsidR="000F01FA" w:rsidRPr="000F01FA" w:rsidRDefault="000F01FA" w:rsidP="000F01FA">
      <w:pPr>
        <w:spacing w:after="150" w:line="240" w:lineRule="auto"/>
        <w:rPr>
          <w:rFonts w:ascii="PT Sans" w:eastAsia="Times New Roman" w:hAnsi="PT Sans" w:cs="Times New Roman"/>
          <w:color w:val="000000"/>
          <w:spacing w:val="15"/>
          <w:sz w:val="21"/>
          <w:szCs w:val="21"/>
          <w:lang w:eastAsia="ru-RU"/>
        </w:rPr>
      </w:pPr>
      <w:hyperlink r:id="rId15" w:history="1">
        <w:r w:rsidRPr="000F01FA">
          <w:rPr>
            <w:rFonts w:ascii="GalsC" w:eastAsia="Times New Roman" w:hAnsi="GalsC" w:cs="Times New Roman"/>
            <w:b/>
            <w:bCs/>
            <w:caps/>
            <w:color w:val="0000FF"/>
            <w:spacing w:val="15"/>
            <w:sz w:val="18"/>
            <w:szCs w:val="18"/>
            <w:u w:val="single"/>
            <w:shd w:val="clear" w:color="auto" w:fill="67AB2D"/>
            <w:lang w:eastAsia="ru-RU"/>
          </w:rPr>
          <w:t>ЗАПИСАТЬСЯ</w:t>
        </w:r>
        <w:r w:rsidRPr="000F01FA">
          <w:rPr>
            <w:rFonts w:ascii="PT Sans" w:eastAsia="Times New Roman" w:hAnsi="PT Sans" w:cs="Times New Roman"/>
            <w:b/>
            <w:bCs/>
            <w:caps/>
            <w:color w:val="0000FF"/>
            <w:spacing w:val="15"/>
            <w:sz w:val="21"/>
            <w:szCs w:val="21"/>
            <w:shd w:val="clear" w:color="auto" w:fill="67AB2D"/>
            <w:lang w:eastAsia="ru-RU"/>
          </w:rPr>
          <w:br/>
        </w:r>
        <w:r w:rsidRPr="000F01FA">
          <w:rPr>
            <w:rFonts w:ascii="GalsC" w:eastAsia="Times New Roman" w:hAnsi="GalsC" w:cs="Times New Roman"/>
            <w:b/>
            <w:bCs/>
            <w:caps/>
            <w:color w:val="0000FF"/>
            <w:spacing w:val="15"/>
            <w:sz w:val="18"/>
            <w:szCs w:val="18"/>
            <w:u w:val="single"/>
            <w:shd w:val="clear" w:color="auto" w:fill="67AB2D"/>
            <w:lang w:eastAsia="ru-RU"/>
          </w:rPr>
          <w:t>НА СЕМИНАР</w:t>
        </w:r>
      </w:hyperlink>
    </w:p>
    <w:p w:rsidR="000F01FA" w:rsidRPr="000F01FA" w:rsidRDefault="000F01FA" w:rsidP="000F01FA">
      <w:pPr>
        <w:spacing w:after="0" w:line="240" w:lineRule="auto"/>
        <w:rPr>
          <w:rFonts w:ascii="GalsC" w:eastAsia="Times New Roman" w:hAnsi="GalsC" w:cs="Times New Roman"/>
          <w:b/>
          <w:bCs/>
          <w:color w:val="000000"/>
          <w:spacing w:val="30"/>
          <w:sz w:val="21"/>
          <w:szCs w:val="21"/>
          <w:lang w:eastAsia="ru-RU"/>
        </w:rPr>
      </w:pPr>
      <w:r w:rsidRPr="000F01FA"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  <w:t>Артикул:</w:t>
      </w:r>
      <w:r w:rsidRPr="000F01FA">
        <w:rPr>
          <w:rFonts w:ascii="GalsC" w:eastAsia="Times New Roman" w:hAnsi="GalsC" w:cs="Times New Roman"/>
          <w:b/>
          <w:bCs/>
          <w:color w:val="000000"/>
          <w:spacing w:val="30"/>
          <w:sz w:val="21"/>
          <w:szCs w:val="21"/>
          <w:lang w:eastAsia="ru-RU"/>
        </w:rPr>
        <w:t> МС13126</w:t>
      </w:r>
    </w:p>
    <w:p w:rsidR="000F01FA" w:rsidRPr="000F01FA" w:rsidRDefault="000F01FA" w:rsidP="000F01FA">
      <w:pPr>
        <w:spacing w:after="0" w:line="210" w:lineRule="atLeast"/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</w:pPr>
      <w:r w:rsidRPr="000F01FA"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  <w:t>Онлайн-трансляция:</w:t>
      </w:r>
    </w:p>
    <w:p w:rsidR="000F01FA" w:rsidRPr="000F01FA" w:rsidRDefault="000F01FA" w:rsidP="000F01FA">
      <w:pPr>
        <w:spacing w:after="0" w:line="240" w:lineRule="auto"/>
        <w:rPr>
          <w:rFonts w:ascii="GalsC" w:eastAsia="Times New Roman" w:hAnsi="GalsC" w:cs="Times New Roman"/>
          <w:caps/>
          <w:color w:val="000000"/>
          <w:spacing w:val="15"/>
          <w:sz w:val="60"/>
          <w:szCs w:val="60"/>
          <w:lang w:eastAsia="ru-RU"/>
        </w:rPr>
      </w:pPr>
      <w:r w:rsidRPr="000F01FA">
        <w:rPr>
          <w:rFonts w:ascii="GalsC" w:eastAsia="Times New Roman" w:hAnsi="GalsC" w:cs="Times New Roman"/>
          <w:caps/>
          <w:color w:val="000000"/>
          <w:spacing w:val="15"/>
          <w:sz w:val="60"/>
          <w:szCs w:val="60"/>
          <w:lang w:eastAsia="ru-RU"/>
        </w:rPr>
        <w:t>10 800</w:t>
      </w:r>
      <w:r w:rsidRPr="000F01FA">
        <w:rPr>
          <w:rFonts w:ascii="PT Sans" w:eastAsia="Times New Roman" w:hAnsi="PT Sans" w:cs="Times New Roman"/>
          <w:b/>
          <w:bCs/>
          <w:caps/>
          <w:color w:val="000000"/>
          <w:spacing w:val="15"/>
          <w:sz w:val="47"/>
          <w:szCs w:val="47"/>
          <w:lang w:eastAsia="ru-RU"/>
        </w:rPr>
        <w:t>₽</w:t>
      </w:r>
    </w:p>
    <w:p w:rsidR="000F01FA" w:rsidRPr="000F01FA" w:rsidRDefault="000F01FA" w:rsidP="000F01FA">
      <w:pPr>
        <w:spacing w:after="0" w:line="240" w:lineRule="auto"/>
        <w:rPr>
          <w:rFonts w:ascii="GalsC" w:eastAsia="Times New Roman" w:hAnsi="GalsC" w:cs="Times New Roman"/>
          <w:caps/>
          <w:color w:val="A1A1A1"/>
          <w:spacing w:val="15"/>
          <w:sz w:val="33"/>
          <w:szCs w:val="33"/>
          <w:lang w:eastAsia="ru-RU"/>
        </w:rPr>
      </w:pPr>
      <w:r w:rsidRPr="000F01FA">
        <w:rPr>
          <w:rFonts w:ascii="GalsC" w:eastAsia="Times New Roman" w:hAnsi="GalsC" w:cs="Times New Roman"/>
          <w:caps/>
          <w:color w:val="A1A1A1"/>
          <w:spacing w:val="15"/>
          <w:sz w:val="33"/>
          <w:szCs w:val="33"/>
          <w:lang w:eastAsia="ru-RU"/>
        </w:rPr>
        <w:t>10 152</w:t>
      </w:r>
      <w:r w:rsidRPr="000F01FA">
        <w:rPr>
          <w:rFonts w:ascii="PT Sans" w:eastAsia="Times New Roman" w:hAnsi="PT Sans" w:cs="Times New Roman"/>
          <w:b/>
          <w:bCs/>
          <w:caps/>
          <w:color w:val="A1A1A1"/>
          <w:spacing w:val="15"/>
          <w:sz w:val="30"/>
          <w:szCs w:val="30"/>
          <w:lang w:eastAsia="ru-RU"/>
        </w:rPr>
        <w:t>₽</w:t>
      </w:r>
      <w:r w:rsidRPr="000F01FA">
        <w:rPr>
          <w:rFonts w:ascii="GalsC" w:eastAsia="Times New Roman" w:hAnsi="GalsC" w:cs="Times New Roman"/>
          <w:caps/>
          <w:color w:val="A1A1A1"/>
          <w:spacing w:val="15"/>
          <w:sz w:val="33"/>
          <w:szCs w:val="33"/>
          <w:lang w:eastAsia="ru-RU"/>
        </w:rPr>
        <w:t> </w:t>
      </w:r>
      <w:r w:rsidRPr="000F01FA">
        <w:rPr>
          <w:rFonts w:ascii="PT Sans" w:eastAsia="Times New Roman" w:hAnsi="PT Sans" w:cs="Times New Roman"/>
          <w:caps/>
          <w:color w:val="A1A1A1"/>
          <w:spacing w:val="15"/>
          <w:sz w:val="33"/>
          <w:szCs w:val="33"/>
          <w:lang w:eastAsia="ru-RU"/>
        </w:rPr>
        <w:t>*</w:t>
      </w:r>
    </w:p>
    <w:p w:rsidR="000F01FA" w:rsidRPr="000F01FA" w:rsidRDefault="000F01FA" w:rsidP="000F01FA">
      <w:pPr>
        <w:spacing w:after="75" w:line="210" w:lineRule="atLeast"/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</w:pPr>
      <w:r w:rsidRPr="000F01FA">
        <w:rPr>
          <w:rFonts w:ascii="GalsC" w:eastAsia="Times New Roman" w:hAnsi="GalsC" w:cs="Times New Roman"/>
          <w:color w:val="000000"/>
          <w:spacing w:val="15"/>
          <w:sz w:val="21"/>
          <w:szCs w:val="21"/>
          <w:lang w:eastAsia="ru-RU"/>
        </w:rPr>
        <w:t>* При регистрации на сайте</w:t>
      </w:r>
    </w:p>
    <w:p w:rsidR="000F01FA" w:rsidRPr="000F01FA" w:rsidRDefault="000F01FA" w:rsidP="000F01FA">
      <w:pPr>
        <w:spacing w:after="0" w:line="240" w:lineRule="auto"/>
        <w:rPr>
          <w:rFonts w:ascii="PT Sans" w:eastAsia="Times New Roman" w:hAnsi="PT Sans" w:cs="Times New Roman"/>
          <w:color w:val="666666"/>
          <w:spacing w:val="15"/>
          <w:sz w:val="18"/>
          <w:szCs w:val="18"/>
          <w:lang w:eastAsia="ru-RU"/>
        </w:rPr>
      </w:pPr>
      <w:r w:rsidRPr="000F01FA">
        <w:rPr>
          <w:rFonts w:ascii="PT Sans" w:eastAsia="Times New Roman" w:hAnsi="PT Sans" w:cs="Times New Roman"/>
          <w:color w:val="666666"/>
          <w:spacing w:val="15"/>
          <w:sz w:val="18"/>
          <w:szCs w:val="18"/>
          <w:lang w:eastAsia="ru-RU"/>
        </w:rPr>
        <w:t>НДС не облагается</w:t>
      </w:r>
    </w:p>
    <w:p w:rsidR="000F01FA" w:rsidRPr="000F01FA" w:rsidRDefault="000F01FA" w:rsidP="000F01FA">
      <w:pPr>
        <w:spacing w:after="150" w:line="240" w:lineRule="auto"/>
        <w:rPr>
          <w:rFonts w:ascii="PT Sans" w:eastAsia="Times New Roman" w:hAnsi="PT Sans" w:cs="Times New Roman"/>
          <w:color w:val="000000"/>
          <w:spacing w:val="15"/>
          <w:sz w:val="21"/>
          <w:szCs w:val="21"/>
          <w:lang w:eastAsia="ru-RU"/>
        </w:rPr>
      </w:pPr>
      <w:hyperlink r:id="rId16" w:history="1">
        <w:r w:rsidRPr="000F01FA">
          <w:rPr>
            <w:rFonts w:ascii="GalsC" w:eastAsia="Times New Roman" w:hAnsi="GalsC" w:cs="Times New Roman"/>
            <w:b/>
            <w:bCs/>
            <w:caps/>
            <w:color w:val="0000FF"/>
            <w:spacing w:val="15"/>
            <w:sz w:val="18"/>
            <w:szCs w:val="18"/>
            <w:u w:val="single"/>
            <w:shd w:val="clear" w:color="auto" w:fill="67AB2D"/>
            <w:lang w:eastAsia="ru-RU"/>
          </w:rPr>
          <w:t>ЗАПИСАТЬСЯ</w:t>
        </w:r>
        <w:r w:rsidRPr="000F01FA">
          <w:rPr>
            <w:rFonts w:ascii="PT Sans" w:eastAsia="Times New Roman" w:hAnsi="PT Sans" w:cs="Times New Roman"/>
            <w:b/>
            <w:bCs/>
            <w:caps/>
            <w:color w:val="0000FF"/>
            <w:spacing w:val="15"/>
            <w:sz w:val="21"/>
            <w:szCs w:val="21"/>
            <w:shd w:val="clear" w:color="auto" w:fill="67AB2D"/>
            <w:lang w:eastAsia="ru-RU"/>
          </w:rPr>
          <w:br/>
        </w:r>
        <w:r w:rsidRPr="000F01FA">
          <w:rPr>
            <w:rFonts w:ascii="GalsC" w:eastAsia="Times New Roman" w:hAnsi="GalsC" w:cs="Times New Roman"/>
            <w:b/>
            <w:bCs/>
            <w:caps/>
            <w:color w:val="0000FF"/>
            <w:spacing w:val="15"/>
            <w:sz w:val="18"/>
            <w:szCs w:val="18"/>
            <w:u w:val="single"/>
            <w:shd w:val="clear" w:color="auto" w:fill="67AB2D"/>
            <w:lang w:eastAsia="ru-RU"/>
          </w:rPr>
          <w:t>НА ВЕБИНАР</w:t>
        </w:r>
      </w:hyperlink>
    </w:p>
    <w:p w:rsidR="000F01FA" w:rsidRPr="000F01FA" w:rsidRDefault="000F01FA" w:rsidP="000F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FA" w:rsidRPr="000F01FA" w:rsidRDefault="000F01FA" w:rsidP="000F01FA">
      <w:pPr>
        <w:spacing w:after="0" w:line="210" w:lineRule="atLeast"/>
        <w:rPr>
          <w:rFonts w:ascii="PT Sans" w:eastAsia="Times New Roman" w:hAnsi="PT Sans" w:cs="Times New Roman"/>
          <w:color w:val="000000"/>
          <w:spacing w:val="15"/>
          <w:sz w:val="21"/>
          <w:szCs w:val="21"/>
          <w:lang w:eastAsia="ru-RU"/>
        </w:rPr>
      </w:pPr>
      <w:hyperlink r:id="rId17" w:history="1">
        <w:r w:rsidRPr="000F01FA">
          <w:rPr>
            <w:rFonts w:ascii="GalsC" w:eastAsia="Times New Roman" w:hAnsi="GalsC" w:cs="Times New Roman"/>
            <w:b/>
            <w:bCs/>
            <w:caps/>
            <w:color w:val="0000FF"/>
            <w:spacing w:val="15"/>
            <w:sz w:val="18"/>
            <w:szCs w:val="18"/>
            <w:u w:val="single"/>
            <w:shd w:val="clear" w:color="auto" w:fill="0083B6"/>
            <w:lang w:eastAsia="ru-RU"/>
          </w:rPr>
          <w:t>ОБРАТНЫЙ ЗВОНОК</w:t>
        </w:r>
      </w:hyperlink>
    </w:p>
    <w:p w:rsidR="000F01FA" w:rsidRPr="000F01FA" w:rsidRDefault="000F01FA" w:rsidP="000F01FA">
      <w:pPr>
        <w:spacing w:after="0" w:line="240" w:lineRule="atLeast"/>
        <w:rPr>
          <w:rFonts w:ascii="GalsC" w:eastAsia="Times New Roman" w:hAnsi="GalsC" w:cs="Times New Roman"/>
          <w:b/>
          <w:bCs/>
          <w:caps/>
          <w:color w:val="000000"/>
          <w:spacing w:val="15"/>
          <w:sz w:val="30"/>
          <w:szCs w:val="30"/>
          <w:lang w:eastAsia="ru-RU"/>
        </w:rPr>
      </w:pPr>
      <w:r w:rsidRPr="000F01FA">
        <w:rPr>
          <w:rFonts w:ascii="GalsC" w:eastAsia="Times New Roman" w:hAnsi="GalsC" w:cs="Times New Roman"/>
          <w:b/>
          <w:bCs/>
          <w:caps/>
          <w:noProof/>
          <w:color w:val="000000"/>
          <w:spacing w:val="15"/>
          <w:sz w:val="30"/>
          <w:szCs w:val="30"/>
          <w:lang w:eastAsia="ru-RU"/>
        </w:rPr>
        <w:drawing>
          <wp:inline distT="0" distB="0" distL="0" distR="0" wp14:anchorId="21401E89" wp14:editId="5758057F">
            <wp:extent cx="133350" cy="133350"/>
            <wp:effectExtent l="0" t="0" r="0" b="0"/>
            <wp:docPr id="2" name="Рисунок 2" descr="https://www.fcaudit.ru/images/icon-telefon-off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caudit.ru/images/icon-telefon-offlin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FA">
        <w:rPr>
          <w:rFonts w:ascii="GalsC" w:eastAsia="Times New Roman" w:hAnsi="GalsC" w:cs="Times New Roman"/>
          <w:caps/>
          <w:color w:val="000000"/>
          <w:spacing w:val="15"/>
          <w:sz w:val="24"/>
          <w:szCs w:val="24"/>
          <w:lang w:eastAsia="ru-RU"/>
        </w:rPr>
        <w:t>8800 234 5522</w:t>
      </w:r>
      <w:r w:rsidRPr="000F01FA">
        <w:rPr>
          <w:rFonts w:ascii="PT Sans" w:eastAsia="Times New Roman" w:hAnsi="PT Sans" w:cs="Times New Roman"/>
          <w:b/>
          <w:bCs/>
          <w:caps/>
          <w:color w:val="000000"/>
          <w:spacing w:val="15"/>
          <w:sz w:val="21"/>
          <w:szCs w:val="21"/>
          <w:lang w:eastAsia="ru-RU"/>
        </w:rPr>
        <w:br/>
      </w:r>
      <w:r w:rsidRPr="000F01FA">
        <w:rPr>
          <w:rFonts w:ascii="GalsC" w:eastAsia="Times New Roman" w:hAnsi="GalsC" w:cs="Times New Roman"/>
          <w:caps/>
          <w:color w:val="000000"/>
          <w:spacing w:val="15"/>
          <w:sz w:val="24"/>
          <w:szCs w:val="24"/>
          <w:lang w:eastAsia="ru-RU"/>
        </w:rPr>
        <w:t>+7495 698 6364+7812 438 0033</w:t>
      </w:r>
    </w:p>
    <w:p w:rsidR="000F01FA" w:rsidRPr="000F01FA" w:rsidRDefault="000F01FA" w:rsidP="000F01FA">
      <w:pPr>
        <w:spacing w:after="0" w:line="240" w:lineRule="auto"/>
        <w:rPr>
          <w:rFonts w:ascii="PT Sans" w:eastAsia="Times New Roman" w:hAnsi="PT Sans" w:cs="Times New Roman"/>
          <w:color w:val="000000"/>
          <w:spacing w:val="15"/>
          <w:sz w:val="18"/>
          <w:szCs w:val="18"/>
          <w:lang w:eastAsia="ru-RU"/>
        </w:rPr>
      </w:pPr>
      <w:proofErr w:type="spellStart"/>
      <w:r w:rsidRPr="000F01FA">
        <w:rPr>
          <w:rFonts w:ascii="PT Sans" w:eastAsia="Times New Roman" w:hAnsi="PT Sans" w:cs="Times New Roman"/>
          <w:color w:val="000000"/>
          <w:spacing w:val="15"/>
          <w:sz w:val="18"/>
          <w:szCs w:val="18"/>
          <w:lang w:eastAsia="ru-RU"/>
        </w:rPr>
        <w:t>Пн-Пт</w:t>
      </w:r>
      <w:proofErr w:type="spellEnd"/>
      <w:r w:rsidRPr="000F01FA">
        <w:rPr>
          <w:rFonts w:ascii="PT Sans" w:eastAsia="Times New Roman" w:hAnsi="PT Sans" w:cs="Times New Roman"/>
          <w:color w:val="000000"/>
          <w:spacing w:val="15"/>
          <w:sz w:val="18"/>
          <w:szCs w:val="18"/>
          <w:lang w:eastAsia="ru-RU"/>
        </w:rPr>
        <w:t xml:space="preserve"> с 9 до 19 </w:t>
      </w:r>
      <w:proofErr w:type="spellStart"/>
      <w:r w:rsidRPr="000F01FA">
        <w:rPr>
          <w:rFonts w:ascii="PT Sans" w:eastAsia="Times New Roman" w:hAnsi="PT Sans" w:cs="Times New Roman"/>
          <w:color w:val="000000"/>
          <w:spacing w:val="15"/>
          <w:sz w:val="18"/>
          <w:szCs w:val="18"/>
          <w:lang w:eastAsia="ru-RU"/>
        </w:rPr>
        <w:t>Мск</w:t>
      </w:r>
      <w:proofErr w:type="spellEnd"/>
    </w:p>
    <w:p w:rsidR="000760A1" w:rsidRDefault="000760A1">
      <w:bookmarkStart w:id="0" w:name="_GoBack"/>
      <w:bookmarkEnd w:id="0"/>
    </w:p>
    <w:sectPr w:rsidR="0007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Gal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B92"/>
    <w:multiLevelType w:val="multilevel"/>
    <w:tmpl w:val="E61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917E0"/>
    <w:multiLevelType w:val="multilevel"/>
    <w:tmpl w:val="36C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5BAE"/>
    <w:multiLevelType w:val="multilevel"/>
    <w:tmpl w:val="DEE0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65867"/>
    <w:multiLevelType w:val="multilevel"/>
    <w:tmpl w:val="4FD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94A10"/>
    <w:multiLevelType w:val="multilevel"/>
    <w:tmpl w:val="1E94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9678B"/>
    <w:multiLevelType w:val="multilevel"/>
    <w:tmpl w:val="1196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A115A"/>
    <w:multiLevelType w:val="multilevel"/>
    <w:tmpl w:val="952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3118D"/>
    <w:multiLevelType w:val="multilevel"/>
    <w:tmpl w:val="ED1E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2136C"/>
    <w:multiLevelType w:val="multilevel"/>
    <w:tmpl w:val="93C8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E11D1"/>
    <w:multiLevelType w:val="multilevel"/>
    <w:tmpl w:val="727A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A686E"/>
    <w:multiLevelType w:val="multilevel"/>
    <w:tmpl w:val="39AC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35DBB"/>
    <w:multiLevelType w:val="multilevel"/>
    <w:tmpl w:val="3532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0C36DD"/>
    <w:multiLevelType w:val="multilevel"/>
    <w:tmpl w:val="EF80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63"/>
    <w:rsid w:val="000760A1"/>
    <w:rsid w:val="00076763"/>
    <w:rsid w:val="000F01FA"/>
    <w:rsid w:val="00A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6817"/>
  <w15:chartTrackingRefBased/>
  <w15:docId w15:val="{564F659E-3311-44F4-A598-1EAAB145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3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26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86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8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1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3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8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73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941">
          <w:marLeft w:val="0"/>
          <w:marRight w:val="0"/>
          <w:marTop w:val="13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5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2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36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47">
          <w:marLeft w:val="0"/>
          <w:marRight w:val="0"/>
          <w:marTop w:val="13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audit.ru/upload/iblock/40b/sertificat_seminar_moskva-12.jpg" TargetMode="External"/><Relationship Id="rId13" Type="http://schemas.openxmlformats.org/officeDocument/2006/relationships/hyperlink" Target="https://www.fcaudit.ru/training/positions/specialist/recruitment-manager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caudit.ru/training/corp/?popup=Y&amp;width=875&amp;height=500&amp;d=1982426" TargetMode="External"/><Relationship Id="rId12" Type="http://schemas.openxmlformats.org/officeDocument/2006/relationships/hyperlink" Target="https://www.fcaudit.ru/training/positions/specialist/hr-manager/" TargetMode="External"/><Relationship Id="rId17" Type="http://schemas.openxmlformats.org/officeDocument/2006/relationships/hyperlink" Target="https://www.fcaudit.ru/call2/?popup=Y&amp;width=544&amp;height=2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caudit.ru/forms/traning_reg/?popup=Y&amp;width=700&amp;height=450&amp;d=1982426&amp;web=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caudit.ru/training/testovaya-translyatsiya/" TargetMode="External"/><Relationship Id="rId11" Type="http://schemas.openxmlformats.org/officeDocument/2006/relationships/hyperlink" Target="https://www.fcaudit.ru/training/positions/dir/chief-personnel-officer/" TargetMode="External"/><Relationship Id="rId5" Type="http://schemas.openxmlformats.org/officeDocument/2006/relationships/hyperlink" Target="https://www.fcaudit.ru/training/map/?popup=Y&amp;width=910&amp;height=500&amp;x=55.776277345268&amp;y=37.675445079803" TargetMode="External"/><Relationship Id="rId15" Type="http://schemas.openxmlformats.org/officeDocument/2006/relationships/hyperlink" Target="https://www.fcaudit.ru/forms/traning_reg/?popup=Y&amp;width=700&amp;height=450&amp;d=1982426" TargetMode="External"/><Relationship Id="rId10" Type="http://schemas.openxmlformats.org/officeDocument/2006/relationships/hyperlink" Target="https://www.fcaudit.ru/training/positions/dir/chief-executive-offic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fcaudit.ru/training/positions/specialist/lawy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2</cp:revision>
  <dcterms:created xsi:type="dcterms:W3CDTF">2020-06-29T05:48:00Z</dcterms:created>
  <dcterms:modified xsi:type="dcterms:W3CDTF">2020-06-29T07:04:00Z</dcterms:modified>
</cp:coreProperties>
</file>