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30" w:rsidRDefault="006941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4130" w:rsidRDefault="00694130">
      <w:pPr>
        <w:pStyle w:val="ConsPlusNormal"/>
        <w:jc w:val="both"/>
        <w:outlineLvl w:val="0"/>
      </w:pPr>
    </w:p>
    <w:p w:rsidR="00694130" w:rsidRDefault="006941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4130" w:rsidRDefault="00694130">
      <w:pPr>
        <w:pStyle w:val="ConsPlusTitle"/>
        <w:jc w:val="center"/>
      </w:pPr>
    </w:p>
    <w:p w:rsidR="00694130" w:rsidRDefault="00694130">
      <w:pPr>
        <w:pStyle w:val="ConsPlusTitle"/>
        <w:jc w:val="center"/>
      </w:pPr>
      <w:r>
        <w:t>ПОСТАНОВЛЕНИЕ</w:t>
      </w:r>
    </w:p>
    <w:p w:rsidR="00694130" w:rsidRDefault="00694130">
      <w:pPr>
        <w:pStyle w:val="ConsPlusTitle"/>
        <w:jc w:val="center"/>
      </w:pPr>
      <w:r>
        <w:t>от 18 мая 2019 г. N 620</w:t>
      </w:r>
    </w:p>
    <w:p w:rsidR="00694130" w:rsidRDefault="00694130">
      <w:pPr>
        <w:pStyle w:val="ConsPlusTitle"/>
        <w:jc w:val="center"/>
      </w:pPr>
    </w:p>
    <w:p w:rsidR="00694130" w:rsidRDefault="00694130">
      <w:pPr>
        <w:pStyle w:val="ConsPlusTitle"/>
        <w:jc w:val="center"/>
      </w:pPr>
      <w:r>
        <w:t>ОБ УТВЕРЖДЕНИИ ПРАВИЛ</w:t>
      </w:r>
    </w:p>
    <w:p w:rsidR="00694130" w:rsidRDefault="00694130">
      <w:pPr>
        <w:pStyle w:val="ConsPlusTitle"/>
        <w:jc w:val="center"/>
      </w:pPr>
      <w:r>
        <w:t>ПРЕДОСТАВЛЕНИЯ ИЗ ФЕДЕРАЛЬНОГО БЮДЖЕТА ГРАНТОВ В ФОРМЕ</w:t>
      </w:r>
    </w:p>
    <w:p w:rsidR="00694130" w:rsidRDefault="00694130">
      <w:pPr>
        <w:pStyle w:val="ConsPlusTitle"/>
        <w:jc w:val="center"/>
      </w:pPr>
      <w:r>
        <w:t>СУБСИДИЙ ОРГАНИЗАЦИЯМ, ОСУЩЕСТВЛЯЮЩИМ ОБРАЗОВАТЕЛЬНУЮ</w:t>
      </w:r>
    </w:p>
    <w:p w:rsidR="00694130" w:rsidRDefault="00694130">
      <w:pPr>
        <w:pStyle w:val="ConsPlusTitle"/>
        <w:jc w:val="center"/>
      </w:pPr>
      <w:r>
        <w:t>ДЕЯТЕЛЬНОСТЬ, В ЦЕЛЯХ ВОЗМЕЩЕНИЯ ЗАТРАТ, СВЯЗАННЫХ</w:t>
      </w:r>
    </w:p>
    <w:p w:rsidR="00694130" w:rsidRDefault="00694130">
      <w:pPr>
        <w:pStyle w:val="ConsPlusTitle"/>
        <w:jc w:val="center"/>
      </w:pPr>
      <w:r>
        <w:t>С ОБУЧЕНИЕМ ФЕДЕРАЛЬНЫХ ГОСУДАРСТВЕННЫХ ГРАЖДАНСКИХ</w:t>
      </w:r>
    </w:p>
    <w:p w:rsidR="00694130" w:rsidRDefault="00694130">
      <w:pPr>
        <w:pStyle w:val="ConsPlusTitle"/>
        <w:jc w:val="center"/>
      </w:pPr>
      <w:r>
        <w:t>СЛУЖАЩИХ НА ОСНОВАНИИ ГОСУДАРСТВЕННЫХ ОБРАЗОВАТЕЛЬНЫХ</w:t>
      </w:r>
    </w:p>
    <w:p w:rsidR="00694130" w:rsidRDefault="00694130">
      <w:pPr>
        <w:pStyle w:val="ConsPlusTitle"/>
        <w:jc w:val="center"/>
      </w:pPr>
      <w:r>
        <w:t>СЕРТИФИКАТОВ НА ДОПОЛНИТЕЛЬНОЕ ПРОФЕССИОНАЛЬНОЕ ОБРАЗОВАНИЕ</w:t>
      </w:r>
    </w:p>
    <w:p w:rsidR="00694130" w:rsidRDefault="006941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41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4130" w:rsidRDefault="00694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130" w:rsidRDefault="006941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1444)</w:t>
            </w:r>
          </w:p>
        </w:tc>
      </w:tr>
    </w:tbl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2. Рекомендовать высшим исполнительным органам государственной власти субъектов Российской Федерации при определении правил предоставления из бюджетов субъектов Российской Федерации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субъектов Российской Федерации на основании государственных образовательных сертификатов на дополнительное профессиональное образование, руководствоваться </w:t>
      </w:r>
      <w:hyperlink w:anchor="P33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right"/>
      </w:pPr>
      <w:r>
        <w:t>Председатель Правительства</w:t>
      </w:r>
    </w:p>
    <w:p w:rsidR="00694130" w:rsidRDefault="00694130">
      <w:pPr>
        <w:pStyle w:val="ConsPlusNormal"/>
        <w:jc w:val="right"/>
      </w:pPr>
      <w:r>
        <w:t>Российской Федерации</w:t>
      </w:r>
    </w:p>
    <w:p w:rsidR="00694130" w:rsidRDefault="00694130">
      <w:pPr>
        <w:pStyle w:val="ConsPlusNormal"/>
        <w:jc w:val="right"/>
      </w:pPr>
      <w:r>
        <w:t>Д.МЕДВЕДЕВ</w:t>
      </w: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right"/>
        <w:outlineLvl w:val="0"/>
      </w:pPr>
      <w:r>
        <w:t>Утверждены</w:t>
      </w:r>
    </w:p>
    <w:p w:rsidR="00694130" w:rsidRDefault="00694130">
      <w:pPr>
        <w:pStyle w:val="ConsPlusNormal"/>
        <w:jc w:val="right"/>
      </w:pPr>
      <w:r>
        <w:t>постановлением Правительства</w:t>
      </w:r>
    </w:p>
    <w:p w:rsidR="00694130" w:rsidRDefault="00694130">
      <w:pPr>
        <w:pStyle w:val="ConsPlusNormal"/>
        <w:jc w:val="right"/>
      </w:pPr>
      <w:r>
        <w:t>Российской Федерации</w:t>
      </w:r>
    </w:p>
    <w:p w:rsidR="00694130" w:rsidRDefault="00694130">
      <w:pPr>
        <w:pStyle w:val="ConsPlusNormal"/>
        <w:jc w:val="right"/>
      </w:pPr>
      <w:r>
        <w:t>от 18 мая 2019 г. N 620</w:t>
      </w: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Title"/>
        <w:jc w:val="center"/>
      </w:pPr>
      <w:bookmarkStart w:id="0" w:name="P33"/>
      <w:bookmarkEnd w:id="0"/>
      <w:r>
        <w:t>ПРАВИЛА</w:t>
      </w:r>
    </w:p>
    <w:p w:rsidR="00694130" w:rsidRDefault="00694130">
      <w:pPr>
        <w:pStyle w:val="ConsPlusTitle"/>
        <w:jc w:val="center"/>
      </w:pPr>
      <w:r>
        <w:t>ПРЕДОСТАВЛЕНИЯ ИЗ ФЕДЕРАЛЬНОГО БЮДЖЕТА ГРАНТОВ В ФОРМЕ</w:t>
      </w:r>
    </w:p>
    <w:p w:rsidR="00694130" w:rsidRDefault="00694130">
      <w:pPr>
        <w:pStyle w:val="ConsPlusTitle"/>
        <w:jc w:val="center"/>
      </w:pPr>
      <w:r>
        <w:t>СУБСИДИЙ ОРГАНИЗАЦИЯМ, ОСУЩЕСТВЛЯЮЩИМ ОБРАЗОВАТЕЛЬНУЮ</w:t>
      </w:r>
    </w:p>
    <w:p w:rsidR="00694130" w:rsidRDefault="00694130">
      <w:pPr>
        <w:pStyle w:val="ConsPlusTitle"/>
        <w:jc w:val="center"/>
      </w:pPr>
      <w:r>
        <w:t>ДЕЯТЕЛЬНОСТЬ, В ЦЕЛЯХ ВОЗМЕЩЕНИЯ ЗАТРАТ, СВЯЗАННЫХ</w:t>
      </w:r>
    </w:p>
    <w:p w:rsidR="00694130" w:rsidRDefault="00694130">
      <w:pPr>
        <w:pStyle w:val="ConsPlusTitle"/>
        <w:jc w:val="center"/>
      </w:pPr>
      <w:r>
        <w:t>С ОБУЧЕНИЕМ ФЕДЕРАЛЬНЫХ ГОСУДАРСТВЕННЫХ ГРАЖДАНСКИХ</w:t>
      </w:r>
    </w:p>
    <w:p w:rsidR="00694130" w:rsidRDefault="00694130">
      <w:pPr>
        <w:pStyle w:val="ConsPlusTitle"/>
        <w:jc w:val="center"/>
      </w:pPr>
      <w:r>
        <w:lastRenderedPageBreak/>
        <w:t>СЛУЖАЩИХ НА ОСНОВАНИИ ГОСУДАРСТВЕННЫХ ОБРАЗОВАТЕЛЬНЫХ</w:t>
      </w:r>
    </w:p>
    <w:p w:rsidR="00694130" w:rsidRDefault="00694130">
      <w:pPr>
        <w:pStyle w:val="ConsPlusTitle"/>
        <w:jc w:val="center"/>
      </w:pPr>
      <w:r>
        <w:t>СЕРТИФИКАТОВ НА ДОПОЛНИТЕЛЬНОЕ ПРОФЕССИОНАЛЬНОЕ ОБРАЗОВАНИЕ</w:t>
      </w:r>
    </w:p>
    <w:p w:rsidR="00694130" w:rsidRDefault="006941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41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4130" w:rsidRDefault="006941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4130" w:rsidRDefault="006941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1444)</w:t>
            </w:r>
          </w:p>
        </w:tc>
      </w:tr>
    </w:tbl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ind w:firstLine="540"/>
        <w:jc w:val="both"/>
      </w:pPr>
      <w:bookmarkStart w:id="1" w:name="P43"/>
      <w:bookmarkEnd w:id="1"/>
      <w:r>
        <w:t>1. Настоящие Правила устанавливают порядок предоставления из федерального бюджета грантов в форме субсидий организациям, осуществляющим образовательную деятельность (далее - образовательные организации),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 (далее соответственно - грант, образовательный сертификат).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2. Предоставление грантов осуществляется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(далее - уполномоченный орган) на цели, указанные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3. Размер гранта рассчитывается в соответствии с нормативами затрат на оказание государственных услуг по реализации дополнительных профессиональных программ, утвержденных с соблюдением общих требований, определенных Министерством науки и высшего образования Российской Федерации, количеством федеральных государственных гражданских служащих, прошедших обучение на основании образовательного сертификата в соответствующей образовательной организации, и объемом освоенной ими дополнительной профессиональной программы.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4. Гранты предоставляются образовательным организациям, включенным в реестр исполнителей государственной услуги по реализации дополнительных профессиональных программ для федеральных государственных гражданских служащих, сформированный уполномоченным органом (далее - реестр образовательных организаций)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утвержденным постановлением Правительства Российской Федерации от 18 мая 2019 г.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 (далее - Положение об образовательном сертификате), осуществившим обучение федеральных государственных гражданских служащих на основании образовательных сертификатов и соответствующим следующим требованиям:</w:t>
      </w:r>
    </w:p>
    <w:p w:rsidR="00694130" w:rsidRDefault="0069413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а) образовательная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9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94130" w:rsidRDefault="00694130">
      <w:pPr>
        <w:pStyle w:val="ConsPlusNormal"/>
        <w:jc w:val="both"/>
      </w:pPr>
      <w:r>
        <w:t xml:space="preserve">(пп. "а"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б) образовательная организация не получает в текущем финансовом году средства из федерального бюджета в соответствии с иными правовыми актами на возмещение затрат, связанных с обучением федеральных государственных гражданских служащих на основании </w:t>
      </w:r>
      <w:r>
        <w:lastRenderedPageBreak/>
        <w:t>образовательных сертификатов;</w:t>
      </w:r>
    </w:p>
    <w:p w:rsidR="00694130" w:rsidRDefault="00694130">
      <w:pPr>
        <w:pStyle w:val="ConsPlusNormal"/>
        <w:jc w:val="both"/>
      </w:pPr>
      <w:r>
        <w:t xml:space="preserve">(пп. "б"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в)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отсутствует просроченная задолженность по возврату в федеральный бюджет субсидий и бюджетных инвестиций, предоставленных в том числе в соответствии с иными правовыми актами, иная просроченная задолженность перед бюджетом бюджетной системы Российской Федерации, из которого планируется предоставление гранта;</w:t>
      </w:r>
    </w:p>
    <w:p w:rsidR="00694130" w:rsidRDefault="00694130">
      <w:pPr>
        <w:pStyle w:val="ConsPlusNormal"/>
        <w:jc w:val="both"/>
      </w:pPr>
      <w:r>
        <w:t xml:space="preserve">(пп. "в"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г)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694130" w:rsidRDefault="00694130">
      <w:pPr>
        <w:pStyle w:val="ConsPlusNormal"/>
        <w:jc w:val="both"/>
      </w:pPr>
      <w:r>
        <w:t xml:space="preserve">(пп. "г"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д) образовательная организация на день подачи заявки на включение в реестр образовательных организаций и в течение всего срока нахождения в реестре образовательных организаций не находится в процессе ликвидации, реорганизации, в отношении образовательной организации не введена процедура банкротства, деятельность образовательной организации не приостановлена в порядке, предусмотренном законодательством Российской Федерации.</w:t>
      </w:r>
    </w:p>
    <w:p w:rsidR="00694130" w:rsidRDefault="00694130">
      <w:pPr>
        <w:pStyle w:val="ConsPlusNormal"/>
        <w:jc w:val="both"/>
      </w:pPr>
      <w:r>
        <w:t xml:space="preserve">(пп. "д"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5. Предоставление грантов осуществляется в соответствии с настоящими Правилами и соглашением о предоставлении гранта, заключенным между образовательной организацией и уполномоченным органом (далее - соглашение).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6. Соглашение должно соответствовать типовой форме, установленной Министерством финансов Российской Федерации, и включать следующие положения: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а) цели и условия предоставления гранта;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б) сроки и порядок перечисления гранта;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в) размер гранта;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г) согласие образовательной организации на осуществление уполномоченными органами государственного финансового контроля обязательных проверок соблюдения порядка, целей и условий предоставления гранта, установленных настоящими Правилами и соглашением;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д) порядок возврата средств, использованных образовательной организацией, в случае установления по итогам проверок, проведенных уполномоченными органами государственного финансового контроля, факта нарушения порядка, целей и условий предоставления гранта, установленных настоящими Правилами и соглашением;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е) ответственность сторон за нарушение порядка, целей и условий предоставления гранта, предусмотренных настоящими Правилами и соглашением, в том числе штрафные санкции.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7. Соглашение заключается по факту оказания образовательными организациями услуг по реализации дополнительных профессиональных программ для федеральных государственных гражданских служащих, но не позднее 10 декабря года осуществления обучения на основании образовательных сертификатов.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7(1). Результатом предоставления гранта является проведение обучения федеральных </w:t>
      </w:r>
      <w:r>
        <w:lastRenderedPageBreak/>
        <w:t>государственных гражданских служащих по соответствующей дополнительной профессиональной программе (программам).</w:t>
      </w:r>
    </w:p>
    <w:p w:rsidR="00694130" w:rsidRDefault="00694130">
      <w:pPr>
        <w:pStyle w:val="ConsPlusNormal"/>
        <w:jc w:val="both"/>
      </w:pPr>
      <w:r>
        <w:t xml:space="preserve">(п. 7(1)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bookmarkStart w:id="2" w:name="P69"/>
      <w:bookmarkEnd w:id="2"/>
      <w:r>
        <w:t>8. Основанием для заключения соглашения является представление образовательной организацией в уполномоченный орган: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образовательных сертификатов федеральных государственных гражданских служащих, успешно освоивших соответствующую дополнительную профессиональную программу, заполненных уполномоченным представителем образовательной организации;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образовательных сертификатов федеральных государственных гражданских служащих,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из образовательной организации, заполненных уполномоченным представителем образовательной организации;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копий удостоверений о повышении квалификации или дипломов о профессиональной переподготовке, полученных федеральными государственными гражданскими служащими, успешно освоившими соответствующую дополнительную профессиональную программу;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отчета о проведении обучения федеральных государственных гражданских служащих по соответствующей дополнительной профессиональной программе (программам) (далее - отчет о проведении обучения);</w:t>
      </w:r>
    </w:p>
    <w:p w:rsidR="00694130" w:rsidRDefault="00694130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отчета о расходах, источником финансового обеспечения которых является грант (далее - отчет о расходах).</w:t>
      </w:r>
    </w:p>
    <w:p w:rsidR="00694130" w:rsidRDefault="00694130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8(1). Документы, указанные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настоящих Правил, образовательная организация представляет в Министерство труда и социальной защиты Российской Федерации в месячный срок после завершения обучения федеральных государственных гражданских служащих по соответствующей дополнительной профессиональной программе.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Отчет о проведении обучения и отчет о расходах представляется в Министерство труда и социальной защиты Российской Федерации на бумажном и электронном носителях по форме, установленной Министерством.</w:t>
      </w:r>
    </w:p>
    <w:p w:rsidR="00694130" w:rsidRDefault="00694130">
      <w:pPr>
        <w:pStyle w:val="ConsPlusNormal"/>
        <w:jc w:val="both"/>
      </w:pPr>
      <w:r>
        <w:t xml:space="preserve">(п. 8(1)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9. Основанием для отказа в заключении соглашения являются: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а) отсутствие образовательной организации в реестре образовательных организаций;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б) выявление факта предоставления недостоверных сведений в документах, указанных в </w:t>
      </w:r>
      <w:hyperlink r:id="rId19" w:history="1">
        <w:r>
          <w:rPr>
            <w:color w:val="0000FF"/>
          </w:rPr>
          <w:t>пункте 9</w:t>
        </w:r>
      </w:hyperlink>
      <w:r>
        <w:t xml:space="preserve"> Положения об образовательном сертификате;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в) непредставление (представление не в полном объеме) образовательной организацией заполненных уполномоченным представителем образовательной организации образовательных сертификатов и копий документов о квалификации, указанных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г) выявление факта предоставления недостоверных сведений в документах, указанных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10. В случае если несколько гражданских служащих прошли обучение в одной образовательной организации, с такой организацией может быть заключено одно соглашение.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lastRenderedPageBreak/>
        <w:t>11. Информация о размерах и сроках перечисления грантов учитывается уполномоченным органом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12. Грант перечисляется образовательной организации: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являющейся государственным (муниципальным) бюджетным учреждением, - на счет территориального органа Федерального казначейства (финансового органа субъекта Российской Федерации (муниципального образования) по месту открытия лицевого счета указанному учреждению;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не являющейся государственным (муниципальным) бюджетным учреждением, - на расчетный счет, открытый образовательной организации в учреждениях Центрального банка Российской Федерации или кредитных организациях.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13. Грант предоставляется на финансовое обеспечение (возмещение):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а) затрат на оплату труда и начислений на выплаты по оплате труда профессорско-преподавательского состава и других работников образовательной организации,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б) затрат на приобретение материальных запасов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 на аренду указанного имущества;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в) затрат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г) затрат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д) затрат на повышение квалификации профессорско-преподавательского состава, в том числе связанных с наймом жилого помещения, и дополнительных расходов,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на приобретение транспортных услуг;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е) затрат на проведение периодических медицинских осмотров;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ж) затрат на коммунальные услуги, в том числе затрат на холодное и горячее водоснабжение и водоотведение, теплоснабжение, электроснабжение, газоснабжение и котельно-печное топливо;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з) затрат на содержание объектов недвижимого имущества (в том числе затрат на арендные платежи);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и) затрат на содержание объектов особо ценного движимого имущества;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 xml:space="preserve">к) суммы резерва на полное восстановление состава объектов особо ценного движимого </w:t>
      </w:r>
      <w:r>
        <w:lastRenderedPageBreak/>
        <w:t>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л) затрат на приобретение услуг связи, в том числе затрат на местную, междугороднюю и международную телефонную связь, услуги информационно-телекоммуникационной сети "Интернет";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м) затрат на приобретение транспортных услуг, в том числе на проезд профессорско-преподавательского состава до места прохождения повышения квалификации и обратно, на проезд до места прохождения практической подготовки и обратно для обучающихся, проходящих такую подготовку, и сопровождающих их работников образовательной организации;</w:t>
      </w:r>
    </w:p>
    <w:p w:rsidR="00694130" w:rsidRDefault="0069413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н) затрат на оплату труда и начислений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13(1). Уполномоченный орган перечисляет грант образовательной организации не позднее 10 рабочих дней со дня заключения соглашения.</w:t>
      </w:r>
    </w:p>
    <w:p w:rsidR="00694130" w:rsidRDefault="00694130">
      <w:pPr>
        <w:pStyle w:val="ConsPlusNormal"/>
        <w:jc w:val="both"/>
      </w:pPr>
      <w:r>
        <w:t xml:space="preserve">(п. 13(1)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14. В случае установления в ходе проверок, проведенных Министерством труда и социальной защиты Российской Федерации или уполномоченным органом государственного финансового контроля, фактов несоблюдения целей, условий и порядка предоставления гранта, а также в случае недостижения результата предоставления гранта, средства гранта в размере, определенном на основании выявленных нарушений, подлежат возврату в доход федерального бюджета: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на основании требования Министерства труда и социальной защиты Российской Федерации - в течение 10 рабочих дней со дня получения образовательной организацией требований Министерства;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на основании представления и (или) предписания уполномоченного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694130" w:rsidRDefault="00694130">
      <w:pPr>
        <w:pStyle w:val="ConsPlusNormal"/>
        <w:jc w:val="both"/>
      </w:pPr>
      <w:r>
        <w:t xml:space="preserve">(п. 14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15.09.2020 N 1444)</w:t>
      </w:r>
    </w:p>
    <w:p w:rsidR="00694130" w:rsidRDefault="00694130">
      <w:pPr>
        <w:pStyle w:val="ConsPlusNormal"/>
        <w:spacing w:before="220"/>
        <w:ind w:firstLine="540"/>
        <w:jc w:val="both"/>
      </w:pPr>
      <w:r>
        <w:t>15. Контроль за соблюдением целей, условий и порядка предоставления грантов осуществляется уполномоченным органом и соответствующим органом государственного финансового контроля.</w:t>
      </w: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jc w:val="both"/>
      </w:pPr>
    </w:p>
    <w:p w:rsidR="00694130" w:rsidRDefault="006941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054" w:rsidRDefault="00213054">
      <w:bookmarkStart w:id="3" w:name="_GoBack"/>
      <w:bookmarkEnd w:id="3"/>
    </w:p>
    <w:sectPr w:rsidR="00213054" w:rsidSect="0095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30"/>
    <w:rsid w:val="00213054"/>
    <w:rsid w:val="006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3C3F-0B38-45FA-8E23-82E38FFE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D7147D9BFE7DA21B2A37BD7D0343870DB11AEE2900BD080F416EB94443E97A82D9836A5280293A732130464DC888BEA70CD411AD34FB7A4J9F" TargetMode="External"/><Relationship Id="rId13" Type="http://schemas.openxmlformats.org/officeDocument/2006/relationships/hyperlink" Target="consultantplus://offline/ref=51CD7147D9BFE7DA21B2A37BD7D0343870DB11AEE2900BD080F416EB94443E97A82D9836A5280292AD32130464DC888BEA70CD411AD34FB7A4J9F" TargetMode="External"/><Relationship Id="rId18" Type="http://schemas.openxmlformats.org/officeDocument/2006/relationships/hyperlink" Target="consultantplus://offline/ref=51CD7147D9BFE7DA21B2A37BD7D0343870DB11AEE2900BD080F416EB94443E97A82D9836A5280291AE32130464DC888BEA70CD411AD34FB7A4J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CD7147D9BFE7DA21B2A37BD7D0343870DB11AEE2900BD080F416EB94443E97A82D9836A5280291AA32130464DC888BEA70CD411AD34FB7A4J9F" TargetMode="External"/><Relationship Id="rId7" Type="http://schemas.openxmlformats.org/officeDocument/2006/relationships/hyperlink" Target="consultantplus://offline/ref=51CD7147D9BFE7DA21B2A37BD7D0343870DF16ABE79B0BD080F416EB94443E97A82D9836A5280292AC32130464DC888BEA70CD411AD34FB7A4J9F" TargetMode="External"/><Relationship Id="rId12" Type="http://schemas.openxmlformats.org/officeDocument/2006/relationships/hyperlink" Target="consultantplus://offline/ref=51CD7147D9BFE7DA21B2A37BD7D0343870DB11AEE2900BD080F416EB94443E97A82D9836A5280292AC32130464DC888BEA70CD411AD34FB7A4J9F" TargetMode="External"/><Relationship Id="rId17" Type="http://schemas.openxmlformats.org/officeDocument/2006/relationships/hyperlink" Target="consultantplus://offline/ref=51CD7147D9BFE7DA21B2A37BD7D0343870DB11AEE2900BD080F416EB94443E97A82D9836A5280292A732130464DC888BEA70CD411AD34FB7A4J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CD7147D9BFE7DA21B2A37BD7D0343870DB11AEE2900BD080F416EB94443E97A82D9836A5280292A932130464DC888BEA70CD411AD34FB7A4J9F" TargetMode="External"/><Relationship Id="rId20" Type="http://schemas.openxmlformats.org/officeDocument/2006/relationships/hyperlink" Target="consultantplus://offline/ref=51CD7147D9BFE7DA21B2A37BD7D0343870DB11AEE2900BD080F416EB94443E97A82D9836A5280291AD32130464DC888BEA70CD411AD34FB7A4J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D7147D9BFE7DA21B2A37BD7D0343870DB11AEE2900BD080F416EB94443E97A82D9836A5280293AB32130464DC888BEA70CD411AD34FB7A4J9F" TargetMode="External"/><Relationship Id="rId11" Type="http://schemas.openxmlformats.org/officeDocument/2006/relationships/hyperlink" Target="consultantplus://offline/ref=51CD7147D9BFE7DA21B2A37BD7D0343870DB11AEE2900BD080F416EB94443E97A82D9836A5280292AF32130464DC888BEA70CD411AD34FB7A4J9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1CD7147D9BFE7DA21B2A37BD7D0343870DB11AEE2900BD080F416EB94443E97A82D9836A5280293AB32130464DC888BEA70CD411AD34FB7A4J9F" TargetMode="External"/><Relationship Id="rId15" Type="http://schemas.openxmlformats.org/officeDocument/2006/relationships/hyperlink" Target="consultantplus://offline/ref=51CD7147D9BFE7DA21B2A37BD7D0343870DB11AEE2900BD080F416EB94443E97A82D9836A5280292AB32130464DC888BEA70CD411AD34FB7A4J9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1CD7147D9BFE7DA21B2A37BD7D0343870DB11AEE2900BD080F416EB94443E97A82D9836A5280292AE32130464DC888BEA70CD411AD34FB7A4J9F" TargetMode="External"/><Relationship Id="rId19" Type="http://schemas.openxmlformats.org/officeDocument/2006/relationships/hyperlink" Target="consultantplus://offline/ref=51CD7147D9BFE7DA21B2A37BD7D0343870DF16ABE79B0BD080F416EB94443E97A82D9836A5280291AB32130464DC888BEA70CD411AD34FB7A4J9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CD7147D9BFE7DA21B2A37BD7D0343871D510AAE19B0BD080F416EB94443E97A82D9832AE7C53D7FB3445553E888497E86ECEA4J0F" TargetMode="External"/><Relationship Id="rId14" Type="http://schemas.openxmlformats.org/officeDocument/2006/relationships/hyperlink" Target="consultantplus://offline/ref=51CD7147D9BFE7DA21B2A37BD7D0343870DB11AEE2900BD080F416EB94443E97A82D9836A5280292AA32130464DC888BEA70CD411AD34FB7A4J9F" TargetMode="External"/><Relationship Id="rId22" Type="http://schemas.openxmlformats.org/officeDocument/2006/relationships/hyperlink" Target="consultantplus://offline/ref=51CD7147D9BFE7DA21B2A37BD7D0343870DB11AEE2900BD080F416EB94443E97A82D9836A5280291A832130464DC888BEA70CD411AD34FB7A4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</cp:revision>
  <dcterms:created xsi:type="dcterms:W3CDTF">2020-11-20T05:09:00Z</dcterms:created>
  <dcterms:modified xsi:type="dcterms:W3CDTF">2020-11-20T05:09:00Z</dcterms:modified>
</cp:coreProperties>
</file>